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3CF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46A20F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67FE37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მეზღვაურთა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განათლებისა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14:paraId="53466BD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FA379C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4D84D33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ვახტის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BA7B6B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C19DDE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3763BDB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0871EF9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16026DF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14:paraId="7640A5D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2926390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A660C1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7EBC78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ოფიცერზე</w:t>
      </w:r>
      <w:r>
        <w:rPr>
          <w:rFonts w:ascii="Sylfaen" w:eastAsia="Times New Roman" w:hAnsi="Sylfaen" w:cs="Sylfaen"/>
          <w:lang w:eastAsia="x-none"/>
        </w:rPr>
        <w:t>, GMDSS-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იმსახუროს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B5307D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B61D0E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№3448)</w:t>
      </w:r>
    </w:p>
    <w:p w14:paraId="6297EE0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9947B8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052FDB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</w:t>
      </w:r>
      <w:r>
        <w:rPr>
          <w:rFonts w:ascii="Sylfaen" w:eastAsia="Times New Roman" w:hAnsi="Sylfaen" w:cs="Sylfaen"/>
          <w:lang w:eastAsia="x-none"/>
        </w:rPr>
        <w:t>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>GMDSS-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ADB7CF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156E24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ოფიცერსა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D32CA7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შკიპერის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108E95B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9118C4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140607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IMO)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5DC227D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GMDSS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გლობალური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14:paraId="7C7F8F8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სუპერინტენდანტი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44B1931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6B63E46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723DBBC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</w:t>
      </w:r>
      <w:r>
        <w:rPr>
          <w:rFonts w:ascii="Sylfaen" w:eastAsia="Times New Roman" w:hAnsi="Sylfaen" w:cs="Sylfaen"/>
          <w:lang w:eastAsia="x-none"/>
        </w:rPr>
        <w:t>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დანადგარებზე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4559870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გამოცდილი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</w:t>
      </w:r>
      <w:r>
        <w:rPr>
          <w:rFonts w:ascii="Sylfaen" w:eastAsia="Times New Roman" w:hAnsi="Sylfaen" w:cs="Sylfaen"/>
          <w:lang w:eastAsia="x-none"/>
        </w:rPr>
        <w:t>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69EDBC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676179B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თევზჭერისა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რეწვისათვის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რეწვის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18846D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</w:t>
      </w:r>
      <w:r>
        <w:rPr>
          <w:rFonts w:ascii="Sylfaen" w:eastAsia="Times New Roman" w:hAnsi="Sylfaen" w:cs="Sylfaen"/>
          <w:lang w:eastAsia="x-none"/>
        </w:rPr>
        <w:t>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მოემსახურონ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4117CC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მოემსახურონ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2DEC57E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)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ვახტის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რეზოლუციით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ვერსიით</w:t>
      </w:r>
      <w:r>
        <w:rPr>
          <w:rFonts w:ascii="Sylfaen" w:eastAsia="Times New Roman" w:hAnsi="Sylfaen" w:cs="Sylfaen"/>
          <w:lang w:eastAsia="x-none"/>
        </w:rPr>
        <w:t>;</w:t>
      </w:r>
    </w:p>
    <w:p w14:paraId="5EF5E81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) SOLAS-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ზღვაზე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1974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1978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1988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განახლებული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AD51DF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CEB1FE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უეკიპაჟოდ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დამფრახტველი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</w:t>
      </w:r>
      <w:r>
        <w:rPr>
          <w:rFonts w:ascii="Sylfaen" w:eastAsia="Times New Roman" w:hAnsi="Sylfaen" w:cs="Sylfaen"/>
          <w:lang w:eastAsia="x-none"/>
        </w:rPr>
        <w:t>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63341AA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განიმარტება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14:paraId="60EFD0A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14:paraId="6B25BD1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მცურავ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>.</w:t>
      </w:r>
    </w:p>
    <w:p w14:paraId="21D4DED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სიგრძე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მეტრზე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</w:t>
      </w:r>
      <w:r>
        <w:rPr>
          <w:rFonts w:ascii="Sylfaen" w:eastAsia="Times New Roman" w:hAnsi="Sylfaen" w:cs="Sylfaen"/>
          <w:lang w:eastAsia="x-none"/>
        </w:rPr>
        <w:t>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ნიჩბიანი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7E74FDA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934921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</w:p>
    <w:p w14:paraId="20D557B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>:</w:t>
      </w:r>
    </w:p>
    <w:p w14:paraId="33920B4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4C669F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წვრთნის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>;</w:t>
      </w:r>
    </w:p>
    <w:p w14:paraId="4ADB3EA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>;</w:t>
      </w:r>
    </w:p>
    <w:p w14:paraId="57FE9EE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E22B36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ტკიცებას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44A163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გაყალბების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9432FF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</w:t>
      </w:r>
      <w:r>
        <w:rPr>
          <w:rFonts w:ascii="Sylfaen" w:eastAsia="Times New Roman" w:hAnsi="Sylfaen" w:cs="Sylfaen"/>
          <w:lang w:eastAsia="x-none"/>
        </w:rPr>
        <w:t>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1941DD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A49149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0A80F7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A66446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205BD2E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მომზადების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</w:p>
    <w:p w14:paraId="7DB5CDF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მეთევზე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მეთევზე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თლებას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№3448)</w:t>
      </w:r>
    </w:p>
    <w:p w14:paraId="42AA65F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E16EFF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მეზღვაურმა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აფინანსებს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101209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34C015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25DD5C2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საზღვაო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საწვრთნელი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აღიარება</w:t>
      </w:r>
    </w:p>
    <w:p w14:paraId="3823FD7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წვრთნას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7BF566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14:paraId="6263AD8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</w:t>
      </w:r>
      <w:r>
        <w:rPr>
          <w:rFonts w:ascii="Sylfaen" w:eastAsia="Times New Roman" w:hAnsi="Sylfaen" w:cs="Sylfaen"/>
          <w:lang w:eastAsia="x-none"/>
        </w:rPr>
        <w:t>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IMO-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2503E4C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216CD25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სერტიფიკატები</w:t>
      </w:r>
    </w:p>
    <w:p w14:paraId="66CDBC2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DB803A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76FFAB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DF17C5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შესაბამისობა</w:t>
      </w:r>
    </w:p>
    <w:p w14:paraId="743B20B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B62FEE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FD97F1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დადასტურება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15EE794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8AEF79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B5D96E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გამოცდა</w:t>
      </w:r>
    </w:p>
    <w:p w14:paraId="0071F79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F349BE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104D8EF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ზედამხედველის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შემფასებლის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აკა</w:t>
      </w:r>
      <w:r>
        <w:rPr>
          <w:rFonts w:ascii="Sylfaen" w:eastAsia="Times New Roman" w:hAnsi="Sylfaen" w:cs="Sylfaen"/>
          <w:b/>
          <w:bCs/>
          <w:lang w:eastAsia="x-none"/>
        </w:rPr>
        <w:t>დემიური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ინსტრუქტორის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კვალიფიკაცია</w:t>
      </w:r>
    </w:p>
    <w:p w14:paraId="0A715E0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ზედამხედველს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შემფასებელს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აკადემიურ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წვრთნას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სუპერინტენდანტად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A2FE8C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ზედამხედველის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შემფასებლის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ინსტრუქტორისათვის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B02C48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43AF65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კანდიდატისათვის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14:paraId="35094C6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40C4313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ლისა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41A07D6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4F8506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05326EA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ACB6BE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8F6A2E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>.</w:t>
      </w:r>
    </w:p>
    <w:p w14:paraId="58D5589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ინგ</w:t>
      </w:r>
      <w:r>
        <w:rPr>
          <w:rFonts w:ascii="Sylfaen" w:eastAsia="Times New Roman" w:hAnsi="Sylfaen" w:cs="Sylfaen"/>
          <w:lang w:eastAsia="x-none"/>
        </w:rPr>
        <w:t>ლისური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.</w:t>
      </w:r>
    </w:p>
    <w:p w14:paraId="0BB50B7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3B8600A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eastAsia="Times New Roman" w:hAnsi="Sylfaen" w:cs="Sylfaen"/>
          <w:lang w:eastAsia="x-none"/>
        </w:rPr>
        <w:t xml:space="preserve">4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1ED36BB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ანახლებისას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დონისაა</w:t>
      </w:r>
      <w:r>
        <w:rPr>
          <w:rFonts w:ascii="Sylfaen" w:eastAsia="Times New Roman" w:hAnsi="Sylfaen" w:cs="Sylfaen"/>
          <w:lang w:eastAsia="x-none"/>
        </w:rPr>
        <w:t>.</w:t>
      </w:r>
    </w:p>
    <w:p w14:paraId="2FD7568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კანდიდატისათვის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14:paraId="731EF16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051FC20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მეთევზ</w:t>
      </w:r>
      <w:r>
        <w:rPr>
          <w:rFonts w:ascii="Sylfaen" w:eastAsia="Times New Roman" w:hAnsi="Sylfaen" w:cs="Sylfaen"/>
          <w:b/>
          <w:bCs/>
          <w:lang w:eastAsia="x-none"/>
        </w:rPr>
        <w:t>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ჯანმრთელობის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მდგომარეობისადმი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14:paraId="2E6356A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3FFB21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735FCE0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აღრიცხვა</w:t>
      </w:r>
    </w:p>
    <w:p w14:paraId="3D6FF32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ვადაგასულ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ვადაგაგრძელებულ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გაუქმებულ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სერტიფიკატში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AD00EE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6AD7EDA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</w:t>
      </w:r>
      <w:r>
        <w:rPr>
          <w:rFonts w:ascii="Sylfaen" w:eastAsia="Times New Roman" w:hAnsi="Sylfaen" w:cs="Sylfaen"/>
          <w:lang w:eastAsia="x-none"/>
        </w:rPr>
        <w:t>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.</w:t>
      </w:r>
    </w:p>
    <w:p w14:paraId="78C4518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E7823E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გემთმფლობელის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0206EF0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</w:t>
      </w:r>
      <w:r>
        <w:rPr>
          <w:rFonts w:ascii="Sylfaen" w:eastAsia="Times New Roman" w:hAnsi="Sylfaen" w:cs="Sylfaen"/>
          <w:lang w:eastAsia="x-none"/>
        </w:rPr>
        <w:t>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F0C8E4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FBBE0A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დაკომპლექტება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5A5B4B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2111BE4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შეღავათის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</w:p>
    <w:p w14:paraId="40BE34D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ზღვაურს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BFDDDA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</w:p>
    <w:p w14:paraId="352DC07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შკიპერისა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</w:t>
      </w:r>
      <w:r>
        <w:rPr>
          <w:rFonts w:ascii="Sylfaen" w:eastAsia="Times New Roman" w:hAnsi="Sylfaen" w:cs="Sylfaen"/>
          <w:lang w:eastAsia="x-none"/>
        </w:rPr>
        <w:t>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მეზღვაურს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73E4D4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რადიოსპეციალისტისა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რადიოტელეფონისტის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6C2897A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უმოკლეს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C4DE3B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0325B07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ეკიპაჟის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წევრი</w:t>
      </w:r>
    </w:p>
    <w:p w14:paraId="57EE5AC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შკიპერის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ეკიპაჟისა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E1D76E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B689C3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773DF1A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14:paraId="1E6D51E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გემთმფლობელი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</w:t>
      </w:r>
      <w:r>
        <w:rPr>
          <w:rFonts w:ascii="Sylfaen" w:eastAsia="Times New Roman" w:hAnsi="Sylfaen" w:cs="Sylfaen"/>
          <w:lang w:eastAsia="x-none"/>
        </w:rPr>
        <w:t>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2EB5BC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7A2D248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30E0431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სამეთაურო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წოდებები</w:t>
      </w:r>
    </w:p>
    <w:p w14:paraId="267990C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20B5206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დონეების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მიხედვით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განაწილება</w:t>
      </w:r>
    </w:p>
    <w:p w14:paraId="5FA9DD8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12A4350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093DF4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3E8AEE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108AE28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B20621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სუპერინტენდანტი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6460673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6164BF2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>;</w:t>
      </w:r>
    </w:p>
    <w:p w14:paraId="71057BD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7A6D47B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ელექტროინჟინერი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D660D1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GMDSS-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რადიოოპერატორი</w:t>
      </w:r>
      <w:r>
        <w:rPr>
          <w:rFonts w:ascii="Sylfaen" w:eastAsia="Times New Roman" w:hAnsi="Sylfaen" w:cs="Sylfaen"/>
          <w:lang w:eastAsia="x-none"/>
        </w:rPr>
        <w:t>.</w:t>
      </w:r>
    </w:p>
    <w:p w14:paraId="5F10960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A5760C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14:paraId="2527B56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7F6678A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გემთწამყვანის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წოდებები</w:t>
      </w:r>
    </w:p>
    <w:p w14:paraId="193032E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გემთწამყვანს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691EA33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12 </w:t>
      </w:r>
      <w:r>
        <w:rPr>
          <w:rFonts w:ascii="Sylfaen" w:eastAsia="Times New Roman" w:hAnsi="Sylfaen" w:cs="Sylfaen"/>
          <w:lang w:eastAsia="x-none"/>
        </w:rPr>
        <w:t>მეტრზე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</w:t>
      </w:r>
      <w:r>
        <w:rPr>
          <w:rFonts w:ascii="Sylfaen" w:eastAsia="Times New Roman" w:hAnsi="Sylfaen" w:cs="Sylfaen"/>
          <w:lang w:eastAsia="x-none"/>
        </w:rPr>
        <w:t>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76824C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12 </w:t>
      </w:r>
      <w:r>
        <w:rPr>
          <w:rFonts w:ascii="Sylfaen" w:eastAsia="Times New Roman" w:hAnsi="Sylfaen" w:cs="Sylfaen"/>
          <w:lang w:eastAsia="x-none"/>
        </w:rPr>
        <w:t>მეტრიდან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158088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24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94B6D1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12 </w:t>
      </w:r>
      <w:r>
        <w:rPr>
          <w:rFonts w:ascii="Sylfaen" w:eastAsia="Times New Roman" w:hAnsi="Sylfaen" w:cs="Sylfaen"/>
          <w:lang w:eastAsia="x-none"/>
        </w:rPr>
        <w:t>მეტრიდან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>;</w:t>
      </w:r>
    </w:p>
    <w:p w14:paraId="1DA513F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24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>.</w:t>
      </w:r>
    </w:p>
    <w:p w14:paraId="60FB302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1F7286E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მექანიკოსის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წოდებები</w:t>
      </w:r>
    </w:p>
    <w:p w14:paraId="07AE441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437780C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A93F1E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78B46A8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C66E88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2F33AB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82056B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</w:t>
      </w:r>
      <w:r>
        <w:rPr>
          <w:rFonts w:ascii="Sylfaen" w:eastAsia="Times New Roman" w:hAnsi="Sylfaen" w:cs="Sylfaen"/>
          <w:lang w:eastAsia="x-none"/>
        </w:rPr>
        <w:t>.</w:t>
      </w:r>
    </w:p>
    <w:p w14:paraId="6BACB62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5BD5BF8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ელექტროინჟ</w:t>
      </w:r>
      <w:r>
        <w:rPr>
          <w:rFonts w:ascii="Sylfaen" w:eastAsia="Times New Roman" w:hAnsi="Sylfaen" w:cs="Sylfaen"/>
          <w:b/>
          <w:bCs/>
          <w:lang w:eastAsia="x-none"/>
        </w:rPr>
        <w:t>ინრის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წოდებები</w:t>
      </w:r>
    </w:p>
    <w:p w14:paraId="322270F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6E53BCE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D8273E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0A4851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</w:t>
      </w:r>
      <w:r>
        <w:rPr>
          <w:rFonts w:ascii="Sylfaen" w:eastAsia="Times New Roman" w:hAnsi="Sylfaen" w:cs="Sylfaen"/>
          <w:lang w:eastAsia="x-none"/>
        </w:rPr>
        <w:t>იკოსმა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2926A9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611102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რადიოსპეციალისტის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წოდებები</w:t>
      </w:r>
    </w:p>
    <w:p w14:paraId="47A4AEE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13D7E4B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GOC GMDSS-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C6DE47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ROC GMDSS-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EE1CA7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72059D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>.</w:t>
      </w:r>
    </w:p>
    <w:p w14:paraId="6F248D8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</w:t>
      </w:r>
      <w:r>
        <w:rPr>
          <w:rFonts w:ascii="Sylfaen" w:eastAsia="Times New Roman" w:hAnsi="Sylfaen" w:cs="Sylfaen"/>
          <w:lang w:eastAsia="x-none"/>
        </w:rPr>
        <w:t>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857A71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14:paraId="05B1751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14:paraId="03E6EB5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სამეთაურო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შემადგენლობისათვის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</w:p>
    <w:p w14:paraId="4CDF7AF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347C3F9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მეთევზე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მეზღვაურთა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მომზადება</w:t>
      </w:r>
    </w:p>
    <w:p w14:paraId="1D9FC3F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</w:t>
      </w:r>
      <w:r>
        <w:rPr>
          <w:rFonts w:ascii="Sylfaen" w:eastAsia="Times New Roman" w:hAnsi="Sylfaen" w:cs="Sylfaen"/>
          <w:lang w:eastAsia="x-none"/>
        </w:rPr>
        <w:t>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წვრთნისა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52CD0B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გემთმფლობელს</w:t>
      </w:r>
      <w:r>
        <w:rPr>
          <w:rFonts w:ascii="Sylfaen" w:eastAsia="Times New Roman" w:hAnsi="Sylfaen" w:cs="Sylfaen"/>
          <w:lang w:eastAsia="x-none"/>
        </w:rPr>
        <w:t>.</w:t>
      </w:r>
    </w:p>
    <w:p w14:paraId="734FBFF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</w:t>
      </w:r>
      <w:r>
        <w:rPr>
          <w:rFonts w:ascii="Sylfaen" w:eastAsia="Times New Roman" w:hAnsi="Sylfaen" w:cs="Sylfaen"/>
          <w:lang w:eastAsia="x-none"/>
        </w:rPr>
        <w:t>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მეცადინეობათა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585400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გემთმფლობელის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გემთმფლობელს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პრობლემებს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73F519D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CED1EC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</w:t>
      </w:r>
      <w:r>
        <w:rPr>
          <w:rFonts w:ascii="Sylfaen" w:eastAsia="Times New Roman" w:hAnsi="Sylfaen" w:cs="Sylfaen"/>
          <w:b/>
          <w:bCs/>
          <w:lang w:eastAsia="x-none"/>
        </w:rPr>
        <w:t>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შკიპერი</w:t>
      </w:r>
    </w:p>
    <w:p w14:paraId="4FC291D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სევე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661748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14:paraId="13C0BC0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3F9658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</w:t>
      </w:r>
      <w:r>
        <w:rPr>
          <w:rFonts w:ascii="Sylfaen" w:eastAsia="Times New Roman" w:hAnsi="Sylfaen" w:cs="Sylfaen"/>
          <w:b/>
          <w:bCs/>
          <w:lang w:eastAsia="x-none"/>
        </w:rPr>
        <w:t>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სავახტო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71B8CCD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99794B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12-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7323D3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4D63ABB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სანაპირო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</w:t>
      </w:r>
      <w:r>
        <w:rPr>
          <w:rFonts w:ascii="Sylfaen" w:eastAsia="Times New Roman" w:hAnsi="Sylfaen" w:cs="Sylfaen"/>
          <w:b/>
          <w:bCs/>
          <w:lang w:eastAsia="x-none"/>
        </w:rPr>
        <w:t>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შკიპერი</w:t>
      </w:r>
    </w:p>
    <w:p w14:paraId="03C0716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</w:t>
      </w:r>
      <w:r>
        <w:rPr>
          <w:rFonts w:ascii="Sylfaen" w:eastAsia="Times New Roman" w:hAnsi="Sylfaen" w:cs="Sylfaen"/>
          <w:lang w:eastAsia="x-none"/>
        </w:rPr>
        <w:t>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08CBBDB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B3AA10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3413BB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სანაპირო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სავახტო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589C22E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8F4192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12-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</w:t>
      </w:r>
      <w:r>
        <w:rPr>
          <w:rFonts w:ascii="Sylfaen" w:eastAsia="Times New Roman" w:hAnsi="Sylfaen" w:cs="Sylfaen"/>
          <w:lang w:eastAsia="x-none"/>
        </w:rPr>
        <w:t>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77635E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Strong"/>
          <w:rFonts w:ascii="Sylfaen" w:hAnsi="Sylfaen" w:cs="Sylfaen"/>
          <w:lang w:eastAsia="x-none"/>
        </w:rPr>
      </w:pPr>
      <w:r>
        <w:rPr>
          <w:rStyle w:val="Strong"/>
          <w:rFonts w:ascii="Sylfaen" w:hAnsi="Sylfaen" w:cs="Sylfaen"/>
          <w:lang w:eastAsia="x-none"/>
        </w:rPr>
        <w:tab/>
      </w:r>
    </w:p>
    <w:p w14:paraId="1CFEAA1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Strong"/>
          <w:rFonts w:ascii="Sylfaen" w:eastAsia="Times New Roman" w:hAnsi="Sylfaen" w:cs="Sylfaen"/>
          <w:lang w:eastAsia="x-none"/>
        </w:rPr>
      </w:pPr>
      <w:r>
        <w:rPr>
          <w:rStyle w:val="Strong"/>
          <w:rFonts w:ascii="Sylfaen" w:eastAsia="Times New Roman" w:hAnsi="Sylfaen" w:cs="Sylfaen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28. </w:t>
      </w:r>
      <w:r>
        <w:rPr>
          <w:rStyle w:val="Strong"/>
          <w:rFonts w:ascii="Sylfaen" w:eastAsia="Times New Roman" w:hAnsi="Sylfaen" w:cs="Sylfaen"/>
          <w:lang w:eastAsia="x-none"/>
        </w:rPr>
        <w:t>საერთაშორისო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ნაოსნობაში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ჩართული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12 </w:t>
      </w:r>
      <w:r>
        <w:rPr>
          <w:rStyle w:val="Strong"/>
          <w:rFonts w:ascii="Sylfaen" w:eastAsia="Times New Roman" w:hAnsi="Sylfaen" w:cs="Sylfaen"/>
          <w:lang w:eastAsia="x-none"/>
        </w:rPr>
        <w:t>მეტრიდან</w:t>
      </w:r>
      <w:r>
        <w:rPr>
          <w:rStyle w:val="Strong"/>
          <w:rFonts w:ascii="Sylfaen" w:eastAsia="Times New Roman" w:hAnsi="Sylfaen" w:cs="Sylfaen"/>
          <w:lang w:eastAsia="x-none"/>
        </w:rPr>
        <w:t xml:space="preserve"> 24 </w:t>
      </w:r>
      <w:r>
        <w:rPr>
          <w:rStyle w:val="Strong"/>
          <w:rFonts w:ascii="Sylfaen" w:eastAsia="Times New Roman" w:hAnsi="Sylfaen" w:cs="Sylfaen"/>
          <w:lang w:eastAsia="x-none"/>
        </w:rPr>
        <w:t>მეტრამდე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სიგრძის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თევზსაჭერი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გემის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შკიპერი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</w:p>
    <w:p w14:paraId="70CF557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</w:t>
      </w:r>
      <w:r>
        <w:rPr>
          <w:rFonts w:ascii="Sylfaen" w:eastAsia="Times New Roman" w:hAnsi="Sylfaen" w:cs="Sylfaen"/>
          <w:lang w:eastAsia="x-none"/>
        </w:rPr>
        <w:t>მწედ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D0FC49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0F6FFB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5EBD2EA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 </w:t>
      </w:r>
      <w:r>
        <w:rPr>
          <w:rFonts w:ascii="Sylfaen" w:eastAsia="Times New Roman" w:hAnsi="Sylfaen" w:cs="Sylfaen"/>
          <w:b/>
          <w:bCs/>
          <w:lang w:eastAsia="x-none"/>
        </w:rPr>
        <w:t>მეტრიდან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სავახტო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1AB2A8D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303E51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12-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779A5C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70D8F8F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სანაპირო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 </w:t>
      </w:r>
      <w:r>
        <w:rPr>
          <w:rFonts w:ascii="Sylfaen" w:eastAsia="Times New Roman" w:hAnsi="Sylfaen" w:cs="Sylfaen"/>
          <w:b/>
          <w:bCs/>
          <w:lang w:eastAsia="x-none"/>
        </w:rPr>
        <w:t>მეტრიდან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</w:t>
      </w:r>
      <w:r>
        <w:rPr>
          <w:rFonts w:ascii="Sylfaen" w:eastAsia="Times New Roman" w:hAnsi="Sylfaen" w:cs="Sylfaen"/>
          <w:b/>
          <w:bCs/>
          <w:lang w:eastAsia="x-none"/>
        </w:rPr>
        <w:t>კიპერი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4ED3EE6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შკიპერად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</w:t>
      </w:r>
      <w:r>
        <w:rPr>
          <w:rFonts w:ascii="Sylfaen" w:eastAsia="Times New Roman" w:hAnsi="Sylfaen" w:cs="Sylfaen"/>
          <w:lang w:eastAsia="x-none"/>
        </w:rPr>
        <w:t>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მეტრამდე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36CC03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E1650D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9296DE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სანაპირო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ნაოსნობაში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 </w:t>
      </w:r>
      <w:r>
        <w:rPr>
          <w:rFonts w:ascii="Sylfaen" w:eastAsia="Times New Roman" w:hAnsi="Sylfaen" w:cs="Sylfaen"/>
          <w:b/>
          <w:bCs/>
          <w:lang w:eastAsia="x-none"/>
        </w:rPr>
        <w:t>მეტრიდან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 </w:t>
      </w:r>
      <w:r>
        <w:rPr>
          <w:rFonts w:ascii="Sylfaen" w:eastAsia="Times New Roman" w:hAnsi="Sylfaen" w:cs="Sylfaen"/>
          <w:b/>
          <w:bCs/>
          <w:lang w:eastAsia="x-none"/>
        </w:rPr>
        <w:t>მეტრამდე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სავახტო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756915B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საგემბანე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B74256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12-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1CB417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3D9B981F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32. 12 </w:t>
      </w:r>
      <w:r>
        <w:rPr>
          <w:rFonts w:ascii="Sylfaen" w:eastAsia="Times New Roman" w:hAnsi="Sylfaen" w:cs="Sylfaen"/>
          <w:b/>
          <w:bCs/>
          <w:lang w:eastAsia="x-none"/>
        </w:rPr>
        <w:t>მეტრზე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ნაკლები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სიგრძის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შკიპერი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1527BCF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088680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</w:t>
      </w:r>
      <w:r>
        <w:rPr>
          <w:rFonts w:ascii="Sylfaen" w:eastAsia="Times New Roman" w:hAnsi="Sylfaen" w:cs="Sylfaen"/>
          <w:lang w:eastAsia="x-none"/>
        </w:rPr>
        <w:t>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C0BC5C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AAE8EE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33. 750 </w:t>
      </w:r>
      <w:r>
        <w:rPr>
          <w:rFonts w:ascii="Sylfaen" w:eastAsia="Times New Roman" w:hAnsi="Sylfaen" w:cs="Sylfaen"/>
          <w:b/>
          <w:bCs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სიმძლავრის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მთავარი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ამძრ</w:t>
      </w:r>
      <w:r>
        <w:rPr>
          <w:rFonts w:ascii="Sylfaen" w:eastAsia="Times New Roman" w:hAnsi="Sylfaen" w:cs="Sylfaen"/>
          <w:b/>
          <w:bCs/>
          <w:lang w:eastAsia="x-none"/>
        </w:rPr>
        <w:t>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მექანიზმის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უფროსი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მექანიკოსი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მექანიკოსი</w:t>
      </w:r>
    </w:p>
    <w:p w14:paraId="45ADDFD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</w:t>
      </w:r>
      <w:r>
        <w:rPr>
          <w:rFonts w:ascii="Sylfaen" w:eastAsia="Times New Roman" w:hAnsi="Sylfaen" w:cs="Sylfaen"/>
          <w:lang w:eastAsia="x-none"/>
        </w:rPr>
        <w:t>ნდეს</w:t>
      </w:r>
      <w:r>
        <w:rPr>
          <w:rFonts w:ascii="Sylfaen" w:eastAsia="Times New Roman" w:hAnsi="Sylfaen" w:cs="Sylfaen"/>
          <w:lang w:eastAsia="x-none"/>
        </w:rPr>
        <w:t xml:space="preserve">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A71B28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6DA699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რომლიდანაც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741288F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61C8EC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09CFF5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34. 750 </w:t>
      </w:r>
      <w:r>
        <w:rPr>
          <w:rFonts w:ascii="Sylfaen" w:eastAsia="Times New Roman" w:hAnsi="Sylfaen" w:cs="Sylfaen"/>
          <w:b/>
          <w:bCs/>
          <w:lang w:eastAsia="x-none"/>
        </w:rPr>
        <w:t>კვტ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ნაკლები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სიმძლავრის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მთავარი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ამძრავი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მექანიზმის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უფროსი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მექანიკოსი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მექანიკოსი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71FC912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-11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</w:t>
      </w:r>
      <w:r>
        <w:rPr>
          <w:rFonts w:ascii="Sylfaen" w:eastAsia="Times New Roman" w:hAnsi="Sylfaen" w:cs="Sylfaen"/>
          <w:lang w:eastAsia="x-none"/>
        </w:rPr>
        <w:t>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0159A29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6-</w:t>
      </w:r>
      <w:r>
        <w:rPr>
          <w:rFonts w:ascii="Sylfaen" w:eastAsia="Times New Roman" w:hAnsi="Sylfaen" w:cs="Sylfaen"/>
          <w:lang w:eastAsia="x-none"/>
        </w:rPr>
        <w:t>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ჩაანაცვლოს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t>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თანაბარია</w:t>
      </w:r>
      <w:r>
        <w:rPr>
          <w:rFonts w:ascii="Sylfaen" w:eastAsia="Times New Roman" w:hAnsi="Sylfaen" w:cs="Sylfaen"/>
          <w:lang w:eastAsia="x-none"/>
        </w:rPr>
        <w:t>.</w:t>
      </w:r>
    </w:p>
    <w:p w14:paraId="66BF6CD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სამანქანე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რომლიდანაც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750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14:paraId="58BE98B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Strong"/>
          <w:rFonts w:ascii="Sylfae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საგამოცდო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2F4B2E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Strong"/>
          <w:rFonts w:ascii="Sylfaen" w:hAnsi="Sylfaen" w:cs="Sylfaen"/>
          <w:b w:val="0"/>
          <w:bCs w:val="0"/>
          <w:lang w:eastAsia="x-none"/>
        </w:rPr>
      </w:pPr>
      <w:r>
        <w:rPr>
          <w:rStyle w:val="Strong"/>
          <w:rFonts w:ascii="Sylfaen" w:hAnsi="Sylfaen" w:cs="Sylfaen"/>
          <w:b w:val="0"/>
          <w:bCs w:val="0"/>
          <w:lang w:eastAsia="x-none"/>
        </w:rPr>
        <w:tab/>
      </w:r>
    </w:p>
    <w:p w14:paraId="207FA09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Strong"/>
          <w:rFonts w:ascii="Sylfaen" w:eastAsia="Times New Roman" w:hAnsi="Sylfaen" w:cs="Sylfaen"/>
          <w:lang w:eastAsia="x-none"/>
        </w:rPr>
      </w:pPr>
      <w:r>
        <w:rPr>
          <w:rStyle w:val="Strong"/>
          <w:rFonts w:ascii="Sylfaen" w:eastAsia="Times New Roman" w:hAnsi="Sylfaen" w:cs="Sylfaen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35. </w:t>
      </w:r>
      <w:r>
        <w:rPr>
          <w:rStyle w:val="Strong"/>
          <w:rFonts w:ascii="Sylfaen" w:eastAsia="Times New Roman" w:hAnsi="Sylfaen" w:cs="Sylfaen"/>
          <w:lang w:eastAsia="x-none"/>
        </w:rPr>
        <w:t>თევზსაჭერი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გემის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პირველი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თანრიგის</w:t>
      </w:r>
      <w:r>
        <w:rPr>
          <w:rStyle w:val="Strong"/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lang w:eastAsia="x-none"/>
        </w:rPr>
        <w:t>ელექტროინჟინერი</w:t>
      </w:r>
    </w:p>
    <w:p w14:paraId="5B40401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</w:t>
      </w:r>
      <w:r>
        <w:rPr>
          <w:rFonts w:ascii="Sylfaen" w:eastAsia="Times New Roman" w:hAnsi="Sylfaen" w:cs="Sylfaen"/>
          <w:lang w:eastAsia="x-none"/>
        </w:rPr>
        <w:t>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1500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>.</w:t>
      </w:r>
    </w:p>
    <w:p w14:paraId="4AE82CB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480756D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თევზსაჭერი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ელექტროინჟინერი</w:t>
      </w:r>
    </w:p>
    <w:p w14:paraId="5C9A8BE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2FF71AE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სიმძლავრე</w:t>
      </w:r>
      <w:r>
        <w:rPr>
          <w:rFonts w:ascii="Sylfaen" w:eastAsia="Times New Roman" w:hAnsi="Sylfaen" w:cs="Sylfaen"/>
          <w:lang w:eastAsia="x-none"/>
        </w:rPr>
        <w:t xml:space="preserve"> 600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</w:t>
      </w:r>
      <w:r>
        <w:rPr>
          <w:rFonts w:ascii="Sylfaen" w:eastAsia="Times New Roman" w:hAnsi="Sylfaen" w:cs="Sylfaen"/>
          <w:lang w:eastAsia="x-none"/>
        </w:rPr>
        <w:t>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>.</w:t>
      </w:r>
    </w:p>
    <w:p w14:paraId="35CFE9E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ელექტროძრავას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სიმძლავრე</w:t>
      </w:r>
      <w:r>
        <w:rPr>
          <w:rFonts w:ascii="Sylfaen" w:eastAsia="Times New Roman" w:hAnsi="Sylfaen" w:cs="Sylfaen"/>
          <w:lang w:eastAsia="x-none"/>
        </w:rPr>
        <w:t xml:space="preserve"> 3000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>.</w:t>
      </w:r>
    </w:p>
    <w:p w14:paraId="044D48E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ელექტროძრავა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თევზის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რეწვის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5000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>.</w:t>
      </w:r>
    </w:p>
    <w:p w14:paraId="23F223F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ელექტროინჟინრის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B5AFCC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0CA0E2D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GMDSS-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რადიოოპერატორი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132A5B6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GMDSS-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ოპერატორებზე</w:t>
      </w:r>
      <w:r>
        <w:rPr>
          <w:rFonts w:ascii="Sylfaen" w:eastAsia="Times New Roman" w:hAnsi="Sylfaen" w:cs="Sylfaen"/>
          <w:lang w:eastAsia="x-none"/>
        </w:rPr>
        <w:t>, SOLAS-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B01FC8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GMDSS-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სავახტო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GMDSS-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640922A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>GMDSS-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, SOLAS-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:</w:t>
      </w:r>
    </w:p>
    <w:p w14:paraId="2634430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DFC416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წვრთნა</w:t>
      </w:r>
      <w:r>
        <w:rPr>
          <w:rFonts w:ascii="Sylfaen" w:eastAsia="Times New Roman" w:hAnsi="Sylfaen" w:cs="Sylfaen"/>
          <w:lang w:eastAsia="x-none"/>
        </w:rPr>
        <w:t>;</w:t>
      </w:r>
    </w:p>
    <w:p w14:paraId="1166E34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STCW-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32A6EE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7DEDE97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14:paraId="2B2247A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5D22DDC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კანდიდატის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ცოდნის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14:paraId="1DA20F0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6D27582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დადასტურება</w:t>
      </w:r>
    </w:p>
    <w:p w14:paraId="196ED85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C6E76B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>.</w:t>
      </w:r>
    </w:p>
    <w:p w14:paraId="44CD470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თევზსაჭერი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</w:t>
      </w:r>
      <w:r>
        <w:rPr>
          <w:rFonts w:ascii="Sylfaen" w:eastAsia="Times New Roman" w:hAnsi="Sylfaen" w:cs="Sylfaen"/>
          <w:lang w:eastAsia="x-none"/>
        </w:rPr>
        <w:t>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22A1396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14:paraId="733E1EA2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კანდიდატის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ცოდნის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14:paraId="312A0F1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591779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კანდიდატ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8A4AE7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საწვრთნელ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მოცდებს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50C625A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C9F85BB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EDA3FC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ჩამორთმევა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</w:p>
    <w:p w14:paraId="45CCD3B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DE3C09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056147C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;</w:t>
      </w:r>
    </w:p>
    <w:p w14:paraId="000ADFEE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შკიპერი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C3D6A0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</w:t>
      </w:r>
      <w:r>
        <w:rPr>
          <w:rFonts w:ascii="Sylfaen" w:eastAsia="Times New Roman" w:hAnsi="Sylfaen" w:cs="Sylfaen"/>
          <w:lang w:eastAsia="x-none"/>
        </w:rPr>
        <w:t>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B18793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>.</w:t>
      </w:r>
    </w:p>
    <w:p w14:paraId="14EEF3B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დექსით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მეზღვაურთა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E08B14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1E86166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191597C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14:paraId="6C6C6F8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16FF7DC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</w:p>
    <w:p w14:paraId="6288751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28009F44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AEAB81D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მცურავ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თევზჭერას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59A60427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წვრთნასა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0FA4148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მეთევზე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მეზღვაუ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BA73D53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9E86EA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74E99371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3FCA5EA5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519DBEE0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2BB0768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2BC03379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№6603-</w:t>
      </w:r>
      <w:r>
        <w:rPr>
          <w:rFonts w:ascii="Sylfaen" w:eastAsia="Times New Roman" w:hAnsi="Sylfaen" w:cs="Sylfaen"/>
          <w:lang w:eastAsia="x-none"/>
        </w:rPr>
        <w:t>რს</w:t>
      </w:r>
    </w:p>
    <w:p w14:paraId="07836A4C" w14:textId="77777777" w:rsidR="00000000" w:rsidRDefault="00EA59B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19512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59B3"/>
    <w:rsid w:val="00E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998C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lang w:val="x-none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x-none"/>
    </w:rPr>
  </w:style>
  <w:style w:type="paragraph" w:customStyle="1" w:styleId="ColorfulList-Accent11">
    <w:name w:val="Colorful List - Accent 11"/>
    <w:basedOn w:val="Normal"/>
    <w:uiPriority w:val="99"/>
    <w:pPr>
      <w:ind w:left="708"/>
    </w:p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x-none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CharChar10">
    <w:name w:val="Char Char10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9">
    <w:name w:val="Char Char9"/>
    <w:basedOn w:val="DefaultParagraphFont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8">
    <w:name w:val="Char Char8"/>
    <w:basedOn w:val="DefaultParagraphFont"/>
    <w:uiPriority w:val="99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6">
    <w:name w:val="Char Char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5">
    <w:name w:val="Char Char5"/>
    <w:basedOn w:val="CharChar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4">
    <w:name w:val="Char Char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2">
    <w:name w:val="Char Char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rFonts w:ascii="Cambria" w:hAnsi="Cambria" w:cs="Cambria"/>
    </w:rPr>
  </w:style>
  <w:style w:type="character" w:customStyle="1" w:styleId="CharChar">
    <w:name w:val="Char Cha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5265</Words>
  <Characters>30015</Characters>
  <Application>Microsoft Office Word</Application>
  <DocSecurity>0</DocSecurity>
  <Lines>250</Lines>
  <Paragraphs>70</Paragraphs>
  <ScaleCrop>false</ScaleCrop>
  <Company/>
  <LinksUpToDate>false</LinksUpToDate>
  <CharactersWithSpaces>35210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