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</w:pP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შესახებ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ორიგინალების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გამოფენა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.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ულია</w:t>
      </w:r>
      <w:r>
        <w:rPr>
          <w:rFonts w:ascii="Sylfaen" w:hAnsi="Sylfaen" w:cs="Sylfaen"/>
          <w:sz w:val="24"/>
          <w:szCs w:val="24"/>
          <w:lang w:eastAsia="x-none"/>
        </w:rPr>
        <w:t>: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რეზიდენციის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hAnsi="Sylfaen" w:cs="Sylfaen"/>
          <w:color w:val="0070C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სესიები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color w:val="FF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№7007)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მიმოსვლის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№1523)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№1523)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№1523)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691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№1523)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69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გამოიფინება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მიმოსვლის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მიმოსვლის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დგენლობებისა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№1523)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1152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გაუფერულებული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შელახული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№7007)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დაშტრიხვის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დაშტრიხვის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დაშტრიხვის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DA42DB">
      <w:pPr>
        <w:widowControl w:val="0"/>
        <w:tabs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დაშტრიხვის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ბლანკებზე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შტამპებზე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DA42DB">
      <w:pPr>
        <w:widowControl w:val="0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გამშვები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ფასადებზე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A42DB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ბანკნოტებსა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მონეტებზე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:rsidR="00000000" w:rsidRDefault="00DA42DB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A42DB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ფასადებსა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№1523)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</w:t>
      </w: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შტანდარტზე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შტამპებზე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DA42DB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A42DB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</w:t>
      </w: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მარცხენა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მარჯვენა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№7007)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მარცხნივ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№7007)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ფირნიშზე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იმეორებდეს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№7007)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ბლანკების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შებღალვა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ფასადებზე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ბლანკებსა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ჭდებსა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შტამპებზე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ფასადებზე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№1523)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№7007)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ჰიმნი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26.04.2022. №1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523)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ჰიმნი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აღმართვისას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დღესასწაულებისადმი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მიძღვნილ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დახვედრისას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ჰიმნს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ორკესტრი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ორკესტრის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სტუმრის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საგუნდო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საორკესტრო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ჰიმნი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5.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საორკესტრო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შეჯიბრების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საორკესტრო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მამაკაცისათვის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კონფესიური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შეტრიალება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№1523)</w:t>
      </w:r>
    </w:p>
    <w:p w:rsidR="00000000" w:rsidRDefault="00DA4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№5724)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№5724)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№5724)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ცერემონიის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აღლუმის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ომენდაციებისა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A42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ტანსაცმლისა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უნიფორმებისა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ემბლემების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ატრიბუტიკისა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ემბლემების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</w:t>
      </w:r>
      <w:r>
        <w:rPr>
          <w:rFonts w:ascii="Sylfaen" w:hAnsi="Sylfaen" w:cs="Sylfaen"/>
          <w:sz w:val="24"/>
          <w:szCs w:val="24"/>
          <w:lang w:eastAsia="x-none"/>
        </w:rPr>
        <w:t>2856-I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(www.matsne.gov.ge),</w:t>
      </w:r>
      <w:r>
        <w:rPr>
          <w:rFonts w:ascii="Sylfaen" w:hAnsi="Sylfaen" w:cs="Sylfaen"/>
          <w:sz w:val="24"/>
          <w:szCs w:val="24"/>
          <w:lang w:eastAsia="x-none"/>
        </w:rPr>
        <w:t xml:space="preserve"> 05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>12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>2014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 010020000.09.001.016247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); 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№2857-I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(www.matsne.gov.ge)</w:t>
      </w:r>
      <w:r>
        <w:rPr>
          <w:rFonts w:ascii="Sylfaen" w:hAnsi="Sylfaen" w:cs="Sylfaen"/>
          <w:sz w:val="24"/>
          <w:szCs w:val="24"/>
          <w:lang w:eastAsia="x-none"/>
        </w:rPr>
        <w:t>, 05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>12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>2014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</w:t>
      </w:r>
      <w:r>
        <w:rPr>
          <w:rFonts w:ascii="Sylfae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eastAsia="x-none"/>
        </w:rPr>
        <w:t xml:space="preserve">  010020000.09.001.016246);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№2861-I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(www.matsne.gov.ge), 05.12.2014,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010020000.09.001.016251);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№2860-I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(www.matsne.gov.ge),</w:t>
      </w:r>
      <w:r>
        <w:rPr>
          <w:rFonts w:ascii="Sylfaen" w:hAnsi="Sylfaen" w:cs="Sylfaen"/>
          <w:sz w:val="24"/>
          <w:szCs w:val="24"/>
          <w:lang w:eastAsia="x-none"/>
        </w:rPr>
        <w:t xml:space="preserve"> 05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>12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>2014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4"/>
          <w:szCs w:val="24"/>
          <w:lang w:eastAsia="x-none"/>
        </w:rPr>
        <w:t>010020000.09.001.01624</w:t>
      </w:r>
      <w:r>
        <w:rPr>
          <w:rFonts w:ascii="Sylfaen" w:hAnsi="Sylfaen" w:cs="Sylfaen"/>
          <w:sz w:val="24"/>
          <w:szCs w:val="24"/>
          <w:lang w:val="ka-GE" w:eastAsia="ka-GE"/>
        </w:rPr>
        <w:t>9);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№2859-I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(www.matsne.gov.ge), 05.12.2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014,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010020000.09.001.016250).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გიორგი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მარგველაშ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ვილი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14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№3723-</w:t>
      </w:r>
      <w:r>
        <w:rPr>
          <w:rFonts w:ascii="Sylfaen" w:hAnsi="Sylfaen" w:cs="Sylfaen"/>
          <w:sz w:val="24"/>
          <w:szCs w:val="24"/>
          <w:lang w:val="en-US"/>
        </w:rPr>
        <w:t>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:rsidR="00000000" w:rsidRDefault="00DA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A42DB"/>
    <w:rsid w:val="00D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3098</Words>
  <Characters>17660</Characters>
  <Application>Microsoft Office Word</Application>
  <DocSecurity>0</DocSecurity>
  <Lines>147</Lines>
  <Paragraphs>41</Paragraphs>
  <ScaleCrop>false</ScaleCrop>
  <Company/>
  <LinksUpToDate>false</LinksUpToDate>
  <CharactersWithSpaces>20717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