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პროკურატურის</w:t>
      </w:r>
      <w:r>
        <w:rPr>
          <w:rFonts w:ascii="Sylfaen" w:hAnsi="Sylfaen" w:cs="Sylfaen"/>
          <w:b/>
          <w:bCs/>
          <w:sz w:val="28"/>
          <w:szCs w:val="28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შესახებ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hAnsi="Sylfaen" w:cs="Sylfaen"/>
          <w:sz w:val="24"/>
          <w:szCs w:val="24"/>
          <w:lang w:val="en-US"/>
        </w:rPr>
        <w:t xml:space="preserve"> 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კორესპონდენტი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ევროჯასტთან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კორესპონდენციის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en-US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4" w:anchor="part_261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საქართველოს სისხლის სამართლის კოდექსის 194-ე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>331</w:t>
      </w:r>
      <w:r>
        <w:rPr>
          <w:rStyle w:val="Hyperlink"/>
          <w:rFonts w:ascii="Times New Roman" w:eastAsia="Times New Roman" w:hAnsi="Times New Roman" w:cs="Times New Roman"/>
          <w:color w:val="auto"/>
          <w:position w:val="6"/>
          <w:sz w:val="24"/>
          <w:szCs w:val="24"/>
          <w:u w:val="none"/>
          <w:lang w:val="ka-GE" w:eastAsia="ka-GE"/>
        </w:rPr>
        <w:t>​</w:t>
      </w:r>
      <w:r>
        <w:rPr>
          <w:rStyle w:val="Hyperlink"/>
          <w:rFonts w:ascii="Sylfaen" w:hAnsi="Sylfaen" w:cs="Sylfaen"/>
          <w:color w:val="auto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ოპასუხედ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აწინაურებს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ელჩისა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დესპანის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აჯილდოებს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სიახლეების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№4257)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ჩასანაცვლებელი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   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გადაწყვეტილებაუნარიანია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კახეთის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სამცხე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მთიანეთის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სამეგრელო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ამჯერადაც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ბრალმდებელია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5" w:anchor="part_261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საქართველოს სისხლის სამართლის კოდექსის 194-ე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>331</w:t>
      </w:r>
      <w:r>
        <w:rPr>
          <w:rStyle w:val="Hyperlink"/>
          <w:rFonts w:ascii="Times New Roman" w:eastAsia="Times New Roman" w:hAnsi="Times New Roman" w:cs="Times New Roman"/>
          <w:color w:val="auto"/>
          <w:position w:val="12"/>
          <w:sz w:val="24"/>
          <w:szCs w:val="24"/>
          <w:u w:val="none"/>
          <w:lang w:val="ka-GE" w:eastAsia="ka-GE"/>
        </w:rPr>
        <w:t>​</w:t>
      </w:r>
      <w:r>
        <w:rPr>
          <w:rStyle w:val="Hyperlink"/>
          <w:rFonts w:ascii="Sylfaen" w:hAnsi="Sylfaen" w:cs="Sylfaen"/>
          <w:color w:val="auto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6" w:anchor="part_261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საქართველოს სისხლის სამართლის კოდექსის 194-ე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>331</w:t>
      </w:r>
      <w:r>
        <w:rPr>
          <w:rStyle w:val="Hyperlink"/>
          <w:rFonts w:ascii="Times New Roman" w:eastAsia="Times New Roman" w:hAnsi="Times New Roman" w:cs="Times New Roman"/>
          <w:color w:val="auto"/>
          <w:position w:val="12"/>
          <w:sz w:val="24"/>
          <w:szCs w:val="24"/>
          <w:u w:val="none"/>
          <w:lang w:val="ka-GE" w:eastAsia="ka-GE"/>
        </w:rPr>
        <w:t>​</w:t>
      </w:r>
      <w:r>
        <w:rPr>
          <w:rStyle w:val="Hyperlink"/>
          <w:rFonts w:ascii="Sylfaen" w:hAnsi="Sylfaen" w:cs="Sylfaen"/>
          <w:color w:val="auto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№5077)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ევროჯასტს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წარგზავნილ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st"/>
          <w:rFonts w:ascii="Sylfaen" w:eastAsia="Times New Roman" w:hAnsi="Sylfaen" w:cs="Sylfaen"/>
          <w:sz w:val="24"/>
          <w:szCs w:val="24"/>
          <w:lang w:val="ka-GE" w:eastAsia="ka-GE"/>
        </w:rPr>
        <w:t>ურთიერთთანამშრომლობის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მემორანდუმი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ალკოჰოლიზმით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სნეულებით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ალკოჰოლიზმით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სნეულებით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სახდელდადებულის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აღვასრულო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დავემორჩილო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 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გაპროტესტება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სერვერებზე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ჩაურევლ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გაივლიან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იმაღლებენ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აიმაღლონ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ამომწურავ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ისაუბროს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ხარჯვაზე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დარეგულირდეს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სპეცკონტინგენტისაგან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 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 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ირგვლივ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78.  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წასახალისებლად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ავტომანქანით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საპასუხისმგებლო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bookmarkStart w:id="0" w:name="part_86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bookmarkStart w:id="1" w:name="part_65"/>
      <w:bookmarkEnd w:id="1"/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bookmarkStart w:id="2" w:name="part_67"/>
      <w:bookmarkEnd w:id="2"/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12. 2019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№4902)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3" w:name="part_68"/>
      <w:bookmarkEnd w:id="3"/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№4257)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№1339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27, 27.10.2008,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170).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№3794-I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121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11A1"/>
    <w:rsid w:val="001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customStyle="1" w:styleId="yiv5843730506msonormal">
    <w:name w:val="yiv5843730506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customStyle="1" w:styleId="yiv7543330119msonormal">
    <w:name w:val="yiv7543330119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mgebixml">
    <w:name w:val="mimgeb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mgebixml0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t">
    <w:name w:val="s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skypec2ctextspan">
    <w:name w:val="skype_c2c_text_span"/>
    <w:basedOn w:val="DefaultParagraphFont"/>
    <w:uiPriority w:val="99"/>
  </w:style>
  <w:style w:type="character" w:customStyle="1" w:styleId="yiv7134757970apple-tab-span">
    <w:name w:val="yiv7134757970apple-tab-span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0"/>
    <w:uiPriority w:val="99"/>
    <w:pPr>
      <w:widowControl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IntenseReference">
    <w:name w:val="Intense Reference"/>
    <w:basedOn w:val="DefaultParagraphFont"/>
    <w:uiPriority w:val="99"/>
    <w:qFormat/>
    <w:rPr>
      <w:b/>
      <w:bCs/>
      <w:color w:val="5B9BD5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5B9BD5"/>
    </w:rPr>
  </w:style>
  <w:style w:type="character" w:customStyle="1" w:styleId="ListParagraphChar">
    <w:name w:val="List Paragraph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6426" TargetMode="External"/><Relationship Id="rId5" Type="http://schemas.openxmlformats.org/officeDocument/2006/relationships/hyperlink" Target="https://matsne.gov.ge/ka/document/view/16426" TargetMode="External"/><Relationship Id="rId4" Type="http://schemas.openxmlformats.org/officeDocument/2006/relationships/hyperlink" Target="https://matsne.gov.ge/ka/document/view/1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15319</Words>
  <Characters>87324</Characters>
  <Application>Microsoft Office Word</Application>
  <DocSecurity>0</DocSecurity>
  <Lines>727</Lines>
  <Paragraphs>204</Paragraphs>
  <ScaleCrop>false</ScaleCrop>
  <Company/>
  <LinksUpToDate>false</LinksUpToDate>
  <CharactersWithSpaces>102439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