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სისხლის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სამართლის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საპროცესო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№31, 03.11.2009,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190)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„32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XVI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მაიდენტიფიცირებელ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მაიდენტიფიცირე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გეოლოკაციის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2. 34-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გამოძიებას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დანაყოფები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გამომძიებლები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3. 35-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ქვემდებარეობა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ქვემდებარეობას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36.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ქვემდებარეობა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ქვემდებარეობას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4. 50-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მაიდენტიფიცირებელ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;“.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5. 56-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უფლებამონაცვლედ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დააკმაყოფილა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უფლებამონაცვლედ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ქვემდებარეა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.“;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„6.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გაირკვევა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ქვემდებარეა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6. 106-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ქვემდებარეა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7. 143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წარმდგენ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გამოიტანა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.“;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ერთმანეთს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ბუნდოვანება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უზუსტობას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>,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>,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8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გამომტან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ბუნდოვანება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უზუსტობის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287-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ბუნდოვანება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უზუსტობის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8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.“;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7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10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7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8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ერთმანეთს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ბუნდოვანება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უზუსტობას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10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>, 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.“;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) 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„6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.“;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) 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sz w:val="24"/>
          <w:szCs w:val="24"/>
          <w:lang w:val="en-US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ზემპლარის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.“;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„7.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4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წარმდგენ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გამოიტანა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8. 143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9. 143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ბუნდოვანება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უსტობას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ერთმანეთს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.“;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10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7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sz w:val="24"/>
          <w:szCs w:val="24"/>
          <w:lang w:val="en-US"/>
        </w:rPr>
        <w:t xml:space="preserve">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ბუნდოვანება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უზუსტობას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ერთმანეთს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</w:t>
      </w:r>
      <w:r>
        <w:rPr>
          <w:rFonts w:ascii="Sylfaen" w:eastAsia="Times New Roman" w:hAnsi="Sylfaen" w:cs="Sylfaen"/>
          <w:sz w:val="24"/>
          <w:szCs w:val="24"/>
          <w:lang w:val="en-US"/>
        </w:rPr>
        <w:t>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7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8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10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-7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.“;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-7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„7.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დასრულებისთანავე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ზუსტად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იდენტიფიკატორი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ოქმედებების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10. 143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8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ანადგურებს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გამოძიებაზე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აუცილებლობისას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11. 167-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უდიტორის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იმუნიტეტი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;“;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იმუნიტეტის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იმუნიტეტით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დაპატიმრებისა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12. 168-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ქვემდებარეა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გამოძი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13. 169-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პლენუმის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14. 173-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173.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იმუნიტეტი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იმუნიტეტის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იმუნიტეტის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რალდებულის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დამამცირებელი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არაადამიანური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გაუჩნდა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ეჭვი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დამამცირებელი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არაადამიანური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მოპყრობა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განუცხადა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რეაგირებისათვის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ემუქრება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გაუჩნდა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ეჭვი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დამამცირებელი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არაადამიანური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მოპყრობა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დასრულდეს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ქვემდებარეობის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(30.11.2018 N3823)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35-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(8.05.2019 N4604)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32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.”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N3276-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9C0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C0257"/>
    <w:rsid w:val="009C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4874</Words>
  <Characters>27786</Characters>
  <Application>Microsoft Office Word</Application>
  <DocSecurity>0</DocSecurity>
  <Lines>231</Lines>
  <Paragraphs>65</Paragraphs>
  <ScaleCrop>false</ScaleCrop>
  <Company/>
  <LinksUpToDate>false</LinksUpToDate>
  <CharactersWithSpaces>32595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