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შემოქმედ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მუშაკთა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შემოქმედებითი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კავშირების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გაღრმავება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პრესტიჟის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</w:t>
      </w:r>
      <w:r>
        <w:rPr>
          <w:rFonts w:ascii="Sylfaen" w:eastAsia="Times New Roman" w:hAnsi="Sylfaen" w:cs="Sylfaen"/>
          <w:lang w:eastAsia="x-none"/>
        </w:rPr>
        <w:t>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ორგანიზაციებზე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ინტერპრეტაცია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„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 xml:space="preserve">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 (1.07.</w:t>
      </w:r>
      <w:r>
        <w:rPr>
          <w:rFonts w:ascii="Sylfaen" w:eastAsia="Times New Roman" w:hAnsi="Sylfaen" w:cs="Sylfaen"/>
          <w:lang w:eastAsia="x-none"/>
        </w:rPr>
        <w:t xml:space="preserve">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მუშაკი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შემოქმედი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მუშაკის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გაწევრიანება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</w:t>
      </w:r>
      <w:r>
        <w:rPr>
          <w:rFonts w:ascii="Sylfaen" w:eastAsia="Times New Roman" w:hAnsi="Sylfaen" w:cs="Sylfaen"/>
          <w:lang w:eastAsia="x-none"/>
        </w:rPr>
        <w:t>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ინტერპრეტაცია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(28.02.2002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N1308)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წევრის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</w:t>
      </w:r>
      <w:r>
        <w:rPr>
          <w:rFonts w:ascii="Sylfaen" w:eastAsia="Times New Roman" w:hAnsi="Sylfaen" w:cs="Sylfaen"/>
          <w:lang w:eastAsia="x-none"/>
        </w:rPr>
        <w:t>ობილობით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მუშაკის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(12.102001 N 1107)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მუშაკის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შრომითი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</w:t>
      </w:r>
      <w:r>
        <w:rPr>
          <w:rFonts w:ascii="Sylfaen" w:eastAsia="Times New Roman" w:hAnsi="Sylfaen" w:cs="Sylfaen"/>
          <w:lang w:eastAsia="x-none"/>
        </w:rPr>
        <w:t>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(12.10.2001 N 1107)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(28.02.2002 N1308)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გაუწევრიანებელ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(12.10.2001 N 1107)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თვითმმართველობა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მადგენლობას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hAnsi="Sylfaen" w:cs="Sylfaen"/>
          <w:lang w:eastAsia="x-none"/>
        </w:rPr>
        <w:t xml:space="preserve">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</w:t>
      </w:r>
      <w:r>
        <w:rPr>
          <w:rFonts w:ascii="Sylfaen" w:eastAsia="Times New Roman" w:hAnsi="Sylfaen" w:cs="Sylfaen"/>
          <w:lang w:eastAsia="x-none"/>
        </w:rPr>
        <w:t>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ურთიერთობები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</w:t>
      </w:r>
      <w:r>
        <w:rPr>
          <w:rFonts w:ascii="Sylfaen" w:eastAsia="Times New Roman" w:hAnsi="Sylfaen" w:cs="Sylfaen"/>
          <w:lang w:eastAsia="x-none"/>
        </w:rPr>
        <w:t>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სახელწოდება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სიმბოლიკა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სახელწოდებისა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:rsidR="00000000" w:rsidRDefault="001B3B8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ლიტე</w:t>
      </w:r>
      <w:r>
        <w:rPr>
          <w:rFonts w:ascii="Sylfaen" w:eastAsia="Times New Roman" w:hAnsi="Sylfaen" w:cs="Sylfaen"/>
          <w:lang w:eastAsia="x-none"/>
        </w:rPr>
        <w:t>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აღორძინების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გაავრცელოს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დააფუძნოს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N3972)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დამფუძნებლები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ქმედუნარი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(12.10.2001 N1107)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კანონმდებლობას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კონფერენციაზე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კანონმდებლობას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</w:t>
      </w:r>
      <w:r>
        <w:rPr>
          <w:rFonts w:ascii="Sylfaen" w:eastAsia="Times New Roman" w:hAnsi="Sylfaen" w:cs="Sylfaen"/>
          <w:lang w:eastAsia="x-none"/>
        </w:rPr>
        <w:t>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N5574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კანონმდებლობას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(1.07.2011. N5015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შემოკლებულ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</w:t>
      </w:r>
      <w:r>
        <w:rPr>
          <w:rFonts w:ascii="Sylfaen" w:eastAsia="Times New Roman" w:hAnsi="Sylfaen" w:cs="Sylfaen"/>
          <w:lang w:eastAsia="x-none"/>
        </w:rPr>
        <w:t>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სადამფუძნებლო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გადანაწილებული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</w:t>
      </w:r>
      <w:r>
        <w:rPr>
          <w:rFonts w:ascii="Sylfaen" w:eastAsia="Times New Roman" w:hAnsi="Sylfaen" w:cs="Sylfaen"/>
          <w:lang w:eastAsia="x-none"/>
        </w:rPr>
        <w:t>ოდულობით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კვორუმი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</w:t>
      </w:r>
      <w:r>
        <w:rPr>
          <w:rFonts w:ascii="Sylfaen" w:eastAsia="Times New Roman" w:hAnsi="Sylfaen" w:cs="Sylfaen"/>
          <w:lang w:eastAsia="x-none"/>
        </w:rPr>
        <w:t>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მოტივაციიდან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ყრ</w:t>
      </w:r>
      <w:r>
        <w:rPr>
          <w:rFonts w:ascii="Sylfaen" w:eastAsia="Times New Roman" w:hAnsi="Sylfaen" w:cs="Sylfaen"/>
          <w:lang w:eastAsia="x-none"/>
        </w:rPr>
        <w:t>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გამგეობისა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გამგეობა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</w:t>
      </w:r>
      <w:r>
        <w:rPr>
          <w:rFonts w:ascii="Sylfaen" w:eastAsia="Times New Roman" w:hAnsi="Sylfaen" w:cs="Sylfaen"/>
          <w:lang w:eastAsia="x-none"/>
        </w:rPr>
        <w:t>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</w:t>
      </w:r>
      <w:r>
        <w:rPr>
          <w:rFonts w:ascii="Sylfaen" w:eastAsia="Times New Roman" w:hAnsi="Sylfaen" w:cs="Sylfaen"/>
          <w:lang w:eastAsia="x-none"/>
        </w:rPr>
        <w:t>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კომისია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</w:t>
      </w:r>
      <w:r>
        <w:rPr>
          <w:rFonts w:ascii="Sylfaen" w:eastAsia="Times New Roman" w:hAnsi="Sylfaen" w:cs="Sylfaen"/>
          <w:lang w:eastAsia="x-none"/>
        </w:rPr>
        <w:t>ენლობით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რევიზია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დომები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ნახევარზე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თავმჯდომარე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</w:t>
      </w:r>
      <w:r>
        <w:rPr>
          <w:rFonts w:ascii="Sylfaen" w:eastAsia="Times New Roman" w:hAnsi="Sylfaen" w:cs="Sylfaen"/>
          <w:lang w:eastAsia="x-none"/>
        </w:rPr>
        <w:t>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ალტერნატ</w:t>
      </w:r>
      <w:r>
        <w:rPr>
          <w:rFonts w:ascii="Sylfaen" w:eastAsia="Times New Roman" w:hAnsi="Sylfaen" w:cs="Sylfaen"/>
          <w:lang w:eastAsia="x-none"/>
        </w:rPr>
        <w:t>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მექანიზმები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სამდივნო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რეორგა</w:t>
      </w:r>
      <w:r>
        <w:rPr>
          <w:rFonts w:ascii="Sylfaen" w:eastAsia="Times New Roman" w:hAnsi="Sylfaen" w:cs="Sylfaen"/>
          <w:b/>
          <w:bCs/>
          <w:lang w:eastAsia="x-none"/>
        </w:rPr>
        <w:t>ნიზაცია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რეორგანიზაციისა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(1.07.2011. N5015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</w:t>
      </w:r>
      <w:r>
        <w:rPr>
          <w:rFonts w:ascii="Sylfaen" w:eastAsia="Times New Roman" w:hAnsi="Sylfaen" w:cs="Sylfaen"/>
          <w:lang w:eastAsia="x-none"/>
        </w:rPr>
        <w:t>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რეორგანიზაციისათვის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ფინანსები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შემოქმ</w:t>
      </w:r>
      <w:r>
        <w:rPr>
          <w:rFonts w:ascii="Sylfaen" w:eastAsia="Times New Roman" w:hAnsi="Sylfaen" w:cs="Sylfaen"/>
          <w:lang w:eastAsia="x-none"/>
        </w:rPr>
        <w:t>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სანატორიუმი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გამომცემლობა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სახელოსნო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ატელიე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სტუდია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</w:t>
      </w:r>
      <w:r>
        <w:rPr>
          <w:rFonts w:ascii="Sylfaen" w:eastAsia="Times New Roman" w:hAnsi="Sylfaen" w:cs="Sylfaen"/>
          <w:lang w:eastAsia="x-none"/>
        </w:rPr>
        <w:t>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ფინანსები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შემოწირულობებისაგან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გასართობი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>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B3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დააფინანსონ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დაიხარჯოს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N </w:t>
      </w:r>
      <w:r>
        <w:rPr>
          <w:rFonts w:ascii="Sylfaen" w:hAnsi="Sylfaen" w:cs="Sylfaen"/>
          <w:sz w:val="20"/>
          <w:szCs w:val="20"/>
          <w:lang w:val="ka-GE" w:eastAsia="ka-GE"/>
        </w:rPr>
        <w:t>697</w:t>
      </w:r>
      <w:r>
        <w:rPr>
          <w:rFonts w:ascii="Sylfaen" w:hAnsi="Sylfaen" w:cs="Sylfaen"/>
          <w:sz w:val="20"/>
          <w:szCs w:val="20"/>
          <w:lang w:val="en-US"/>
        </w:rPr>
        <w:t>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შენატანის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ახელმწიფო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სამეწარმეო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საფინანსო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     </w:t>
      </w:r>
      <w:r>
        <w:rPr>
          <w:rFonts w:ascii="Sylfaen" w:eastAsia="Times New Roman" w:hAnsi="Sylfaen" w:cs="Sylfaen"/>
          <w:b/>
          <w:bCs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(1.07.2011. N5015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1B3B8D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ამეწარმეო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შემოქმედებითი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ხელახალი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“_“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.                              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განუყოფელია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(8.12.2006 N3884)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(8.12.2006 N3884)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(8.12.2006 N3884)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საგაზაფხულო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შემოქმედ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(8.12.2006 N3884)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2059 -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1B3B8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3B8D"/>
    <w:rsid w:val="001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3658</Words>
  <Characters>20852</Characters>
  <Application>Microsoft Office Word</Application>
  <DocSecurity>0</DocSecurity>
  <Lines>173</Lines>
  <Paragraphs>48</Paragraphs>
  <ScaleCrop>false</ScaleCrop>
  <Company/>
  <LinksUpToDate>false</LinksUpToDate>
  <CharactersWithSpaces>24462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