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საომარი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მდგომარეობის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36"/>
          <w:szCs w:val="36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გულისხმობს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შეესაბამება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სუვერე</w:t>
      </w:r>
      <w:r>
        <w:rPr>
          <w:rFonts w:ascii="Sylfaen" w:eastAsia="Times New Roman" w:hAnsi="Sylfaen" w:cs="Sylfaen"/>
          <w:lang w:val="en-US"/>
        </w:rPr>
        <w:t>ნიტეტისა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საომარ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</w:t>
      </w:r>
      <w:r>
        <w:rPr>
          <w:rFonts w:ascii="Sylfaen" w:eastAsia="Times New Roman" w:hAnsi="Sylfaen" w:cs="Sylfaen"/>
          <w:lang w:val="en-US"/>
        </w:rPr>
        <w:t>რეობას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</w:t>
      </w:r>
      <w:r>
        <w:rPr>
          <w:rFonts w:ascii="Sylfaen" w:eastAsia="Times New Roman" w:hAnsi="Sylfaen" w:cs="Sylfaen"/>
          <w:lang w:val="en-US"/>
        </w:rPr>
        <w:t>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დასამტკიცებლად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</w:t>
      </w:r>
      <w:r>
        <w:rPr>
          <w:rFonts w:ascii="Sylfaen" w:eastAsia="Times New Roman" w:hAnsi="Sylfaen" w:cs="Sylfaen"/>
          <w:lang w:val="en-US"/>
        </w:rPr>
        <w:t>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</w:t>
      </w:r>
      <w:r>
        <w:rPr>
          <w:rFonts w:ascii="Sylfaen" w:eastAsia="Times New Roman" w:hAnsi="Sylfaen" w:cs="Sylfaen"/>
          <w:lang w:val="en-US"/>
        </w:rPr>
        <w:t>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გაუქმებამდე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დასამტკიცებლად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დეკრეტს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დაამტკიცებს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კენჭისყრისთანავე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</w:t>
      </w:r>
      <w:r>
        <w:rPr>
          <w:rFonts w:ascii="Sylfaen" w:eastAsia="Times New Roman" w:hAnsi="Sylfaen" w:cs="Sylfaen"/>
          <w:lang w:val="en-US"/>
        </w:rPr>
        <w:t>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ზღუდავს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-19, 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ჩამოთვლილ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აჩერებს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</w:t>
      </w:r>
      <w:r>
        <w:rPr>
          <w:rFonts w:ascii="Sylfaen" w:eastAsia="Times New Roman" w:hAnsi="Sylfaen" w:cs="Sylfaen"/>
          <w:lang w:val="en-US"/>
        </w:rPr>
        <w:t>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-14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-18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-19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დასამტკიცებლად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დეკრეტის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საქვეყნოდ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მოტივი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საქვეყნოდ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ამოცხადებისა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 </w:t>
      </w:r>
    </w:p>
    <w:p w:rsidR="00000000" w:rsidRDefault="00413C5C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2.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შეუძლიათ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გააძლიერონ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წესრიგისა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გაასახლონ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რაიონებიდან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შეუზღუდონ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აუკ</w:t>
      </w:r>
      <w:r>
        <w:rPr>
          <w:rFonts w:ascii="Sylfaen" w:eastAsia="Times New Roman" w:hAnsi="Sylfaen" w:cs="Sylfaen"/>
          <w:lang w:eastAsia="x-none"/>
        </w:rPr>
        <w:t>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გარეშე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ჩამოართვან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ტყვია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წამალი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სასწავლო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</w:t>
      </w:r>
      <w:r>
        <w:rPr>
          <w:rFonts w:ascii="Sylfaen" w:eastAsia="Times New Roman" w:hAnsi="Sylfaen" w:cs="Sylfaen"/>
          <w:lang w:eastAsia="x-none"/>
        </w:rPr>
        <w:t>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ფეთქებადი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ძლიერმოქმედი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შხამიანი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კრებების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მიტინგების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ქუჩის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დემონსტრაციების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სანახაობრივი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შეიტანონ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გადაწყვიტონ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დააწესონ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(07.05.2003 N 2166)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საომარ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გადააყენონ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სურვილით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საპატიო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იზეზით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აღადგინონ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ისარგებლონ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მხოლ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გაფიცვები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ჩააბან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შრომისუნარიანი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</w:t>
      </w:r>
      <w:r>
        <w:rPr>
          <w:rFonts w:ascii="Sylfaen" w:eastAsia="Times New Roman" w:hAnsi="Sylfaen" w:cs="Sylfaen"/>
          <w:lang w:eastAsia="x-none"/>
        </w:rPr>
        <w:t>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შეზღუდონ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ძლიერმოქმედი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ქიმიური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შხამიანი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სპირტიანი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სასმელებითა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სპირტის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კარანტინი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სანიტარიულ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ეპიდემიასაწინააღმდეგო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დაუწესონ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შეზღუდ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მოძრაობა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გასინჯონ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შემოიღონ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კომენდანტის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შეამოწმონ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მოაწყონ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გასინჯვა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იქმნება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სათათბირო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ამზადებს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აკავშირებით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საჭიროებისამებრ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დახურულია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>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გამოცხადდეს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3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სხდომაზე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დამსწრე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განხილული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დეტალების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სხდომის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</w:t>
      </w:r>
      <w:r>
        <w:rPr>
          <w:rFonts w:ascii="Sylfaen" w:eastAsia="Times New Roman" w:hAnsi="Sylfaen" w:cs="Sylfaen"/>
          <w:lang w:val="en-US"/>
        </w:rPr>
        <w:t>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გააუქმონ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>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მუშა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მოსამსახურენი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დაუკითხავად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გადაიყვანონ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მოქალ</w:t>
      </w:r>
      <w:r>
        <w:rPr>
          <w:rFonts w:ascii="Sylfaen" w:eastAsia="Times New Roman" w:hAnsi="Sylfaen" w:cs="Sylfaen"/>
          <w:lang w:eastAsia="x-none"/>
        </w:rPr>
        <w:t>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კომენდანტის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იყვნენ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ქუჩაში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თავშეყრის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გამოვიდნენ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დამრღვევ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კომენდანტის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დადგენამდე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დაკავებულნი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გაისინჯონ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გაუსინჯო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8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" , "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" , "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" , "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" -"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>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მოხმობ</w:t>
      </w:r>
      <w:r>
        <w:rPr>
          <w:rFonts w:ascii="Sylfaen" w:eastAsia="Times New Roman" w:hAnsi="Sylfaen" w:cs="Sylfaen"/>
          <w:lang w:val="en-US"/>
        </w:rPr>
        <w:t>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ხელმძღვანელობისა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</w:t>
      </w:r>
      <w:r>
        <w:rPr>
          <w:rFonts w:ascii="Sylfaen" w:eastAsia="Times New Roman" w:hAnsi="Sylfaen" w:cs="Sylfaen"/>
          <w:lang w:val="en-US"/>
        </w:rPr>
        <w:t>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კომენდანტი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კომენდანტი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</w:t>
      </w:r>
      <w:r>
        <w:rPr>
          <w:rFonts w:ascii="Sylfaen" w:eastAsia="Times New Roman" w:hAnsi="Sylfaen" w:cs="Sylfaen"/>
          <w:lang w:val="en-US"/>
        </w:rPr>
        <w:t>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მოწვეულ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გამოცდილების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</w:t>
      </w:r>
      <w:r>
        <w:rPr>
          <w:rFonts w:ascii="Sylfaen" w:eastAsia="Times New Roman" w:hAnsi="Sylfaen" w:cs="Sylfaen"/>
          <w:lang w:eastAsia="x-none"/>
        </w:rPr>
        <w:t>ბიდან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</w:t>
      </w:r>
      <w:r>
        <w:rPr>
          <w:rFonts w:ascii="Sylfaen" w:eastAsia="Times New Roman" w:hAnsi="Sylfaen" w:cs="Sylfaen"/>
          <w:lang w:eastAsia="x-none"/>
        </w:rPr>
        <w:t>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</w:t>
      </w:r>
      <w:r>
        <w:rPr>
          <w:rFonts w:ascii="Sylfaen" w:eastAsia="Times New Roman" w:hAnsi="Sylfaen" w:cs="Sylfaen"/>
          <w:lang w:eastAsia="x-none"/>
        </w:rPr>
        <w:t>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სადგომებით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>ეხმარება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ბინის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</w:t>
      </w:r>
      <w:r>
        <w:rPr>
          <w:rFonts w:ascii="Sylfaen" w:eastAsia="Times New Roman" w:hAnsi="Sylfaen" w:cs="Sylfaen"/>
          <w:lang w:eastAsia="x-none"/>
        </w:rPr>
        <w:t>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(06.09.2013. N1044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36"/>
          <w:szCs w:val="36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(31.10.2018 N3575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ჯეროვან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საომარი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დეკრეტით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თანახელმოწერილია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უფლებამოსილებანი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შეჩერდება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ღონისძიებანი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N7003)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</w:t>
      </w:r>
      <w:r>
        <w:rPr>
          <w:rFonts w:ascii="Sylfaen" w:eastAsia="Times New Roman" w:hAnsi="Sylfaen" w:cs="Sylfaen"/>
          <w:lang w:val="en-US"/>
        </w:rPr>
        <w:t>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413C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დაიქვემდებაროს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15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>ხადებისა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გაერთიანებული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მდივანს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"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"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1992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დეკემბრის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</w:t>
      </w:r>
      <w:r>
        <w:rPr>
          <w:rFonts w:ascii="Sylfaen" w:eastAsia="Times New Roman" w:hAnsi="Sylfaen" w:cs="Sylfaen"/>
          <w:lang w:eastAsia="x-none"/>
        </w:rPr>
        <w:t xml:space="preserve">, 1992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., N 2,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 xml:space="preserve">. 103).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</w:t>
      </w:r>
      <w:r>
        <w:rPr>
          <w:rFonts w:ascii="Sylfaen" w:eastAsia="Times New Roman" w:hAnsi="Sylfaen" w:cs="Sylfaen"/>
          <w:lang w:eastAsia="x-none"/>
        </w:rPr>
        <w:t>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31 </w:t>
      </w:r>
      <w:r>
        <w:rPr>
          <w:rFonts w:ascii="Sylfaen" w:eastAsia="Times New Roman" w:hAnsi="Sylfaen" w:cs="Sylfaen"/>
          <w:lang w:eastAsia="x-none"/>
        </w:rPr>
        <w:t>ოქტომბერი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1032 - I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413C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3C5C"/>
    <w:rsid w:val="004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