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E320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198B309F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0BD5101E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მოქალაქეთა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პოლიტიკური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გაერთიანებების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ორგანულ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07D805E6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5670879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45, 21.11.1997,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76)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(22.12.2018 N4103)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</w:t>
      </w:r>
    </w:p>
    <w:p w14:paraId="5CBCBB1C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</w:t>
      </w:r>
    </w:p>
    <w:p w14:paraId="4F630101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42A696B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A1AF07C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46888AE1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F44BEAA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B53734D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B7B080C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9F07B3E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B4CCEA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8263395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C95974B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1DA12FA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5616EEE4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(27.12.2018 N4255)</w:t>
      </w:r>
    </w:p>
    <w:p w14:paraId="48D77439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C928EEB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6D818989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D864781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4371E7B8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3D35F1B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N3302-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5EF43971" w14:textId="77777777" w:rsidR="00000000" w:rsidRDefault="008A18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A18F4"/>
    <w:rsid w:val="008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EAE1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