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აუცილებელი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საზოგადოებრივი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საჭიროებისათვის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საკუთრების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ჩამორთმევის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წესის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eastAsia="x-none"/>
        </w:rPr>
      </w:pP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 </w:t>
      </w:r>
      <w:r>
        <w:rPr>
          <w:rFonts w:ascii="Sylfaen" w:eastAsia="Times New Roman" w:hAnsi="Sylfaen" w:cs="Sylfaen"/>
          <w:b/>
          <w:bCs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ტერმინების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სპეციალურად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საექსპროპრიაციო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სანაცვლო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N4204)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ექსპროპრიატორი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ექსპროპრიაციისას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ექსპროპრიაციის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</w:t>
      </w:r>
      <w:r>
        <w:rPr>
          <w:rFonts w:ascii="Sylfaen" w:eastAsia="Times New Roman" w:hAnsi="Sylfaen" w:cs="Sylfaen"/>
          <w:lang w:eastAsia="x-none"/>
        </w:rPr>
        <w:t>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2762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3065FE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ექსპროპრიაცია</w:t>
      </w:r>
      <w:r>
        <w:rPr>
          <w:rFonts w:ascii="Sylfaen" w:eastAsia="Times New Roman" w:hAnsi="Sylfaen" w:cs="Sylfaen"/>
          <w:lang w:eastAsia="x-none"/>
        </w:rPr>
        <w:t xml:space="preserve">  –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-1</w:t>
      </w:r>
      <w:r>
        <w:rPr>
          <w:rFonts w:ascii="Sylfaen" w:eastAsia="Times New Roman" w:hAnsi="Sylfaen" w:cs="Sylfaen"/>
          <w:lang w:eastAsia="x-none"/>
        </w:rPr>
        <w:t xml:space="preserve">9  </w:t>
      </w:r>
      <w:r>
        <w:rPr>
          <w:rFonts w:ascii="Sylfaen" w:eastAsia="Times New Roman" w:hAnsi="Sylfaen" w:cs="Sylfaen"/>
          <w:lang w:eastAsia="x-none"/>
        </w:rPr>
        <w:t>მუხლისა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2762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მესაკუთრისთვის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გადაცემით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2762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3065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ექსპროპ</w:t>
      </w:r>
      <w:r>
        <w:rPr>
          <w:rFonts w:ascii="Sylfaen" w:eastAsia="Times New Roman" w:hAnsi="Sylfaen" w:cs="Sylfaen"/>
          <w:lang w:val="en-US"/>
        </w:rPr>
        <w:t>რიაციის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ექსპროპრიაციის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ექსპროპრიაცია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ბრძანების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</w:t>
      </w:r>
      <w:r>
        <w:rPr>
          <w:rFonts w:ascii="Sylfaen" w:eastAsia="Times New Roman" w:hAnsi="Sylfaen" w:cs="Sylfaen"/>
          <w:lang w:val="en-US"/>
        </w:rPr>
        <w:t>ეტილებით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სასარგებლოდ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ექსპროპრიაციის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697</w:t>
      </w:r>
      <w:r>
        <w:rPr>
          <w:rFonts w:ascii="Sylfaen" w:hAnsi="Sylfaen" w:cs="Sylfaen"/>
          <w:sz w:val="20"/>
          <w:szCs w:val="20"/>
          <w:lang w:val="en-US"/>
        </w:rPr>
        <w:t>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lastRenderedPageBreak/>
        <w:t xml:space="preserve">2.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</w:t>
      </w:r>
      <w:r>
        <w:rPr>
          <w:rFonts w:ascii="Sylfaen" w:eastAsia="Times New Roman" w:hAnsi="Sylfaen" w:cs="Sylfaen"/>
          <w:lang w:eastAsia="x-none"/>
        </w:rPr>
        <w:t>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გზისა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მაგისტრალის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მშენებლობისათვის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რკინიგზის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ნედლი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ნავთობპროდუქტების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მილსადენების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გამანა</w:t>
      </w:r>
      <w:r>
        <w:rPr>
          <w:rFonts w:ascii="Sylfaen" w:eastAsia="Times New Roman" w:hAnsi="Sylfaen" w:cs="Sylfaen"/>
          <w:lang w:eastAsia="x-none"/>
        </w:rPr>
        <w:t>წილებელი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ლობისათვის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წყალმომარაგების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კანალიზაციისა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ნალექების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ტორული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სატელეფონო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სატელევიზიო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</w:t>
      </w:r>
      <w:r>
        <w:rPr>
          <w:rFonts w:ascii="Sylfaen" w:eastAsia="Times New Roman" w:hAnsi="Sylfaen" w:cs="Sylfaen"/>
          <w:lang w:eastAsia="x-none"/>
        </w:rPr>
        <w:t>ებობისა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(22.04.2005 N 1417)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ექსპროპრიაციის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განხორციელება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ექსპროპრიაციის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მოპოვების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2762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3065FE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</w:t>
      </w:r>
      <w:r>
        <w:rPr>
          <w:rFonts w:ascii="Sylfaen" w:eastAsia="Times New Roman" w:hAnsi="Sylfaen" w:cs="Sylfaen"/>
          <w:lang w:eastAsia="x-none"/>
        </w:rPr>
        <w:t>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ექსპროპრიაციის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გარდაუვალობა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3065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ექსპროპრიაციის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ექსპროპრიაციის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საექსპროპრიაციო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დეტალურ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აღწერას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697</w:t>
      </w:r>
      <w:r>
        <w:rPr>
          <w:rFonts w:ascii="Sylfaen" w:hAnsi="Sylfaen" w:cs="Sylfaen"/>
          <w:sz w:val="20"/>
          <w:szCs w:val="20"/>
          <w:lang w:val="en-US"/>
        </w:rPr>
        <w:t>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გამოქვ</w:t>
      </w:r>
      <w:r>
        <w:rPr>
          <w:rFonts w:ascii="Sylfaen" w:eastAsia="Times New Roman" w:hAnsi="Sylfaen" w:cs="Sylfaen"/>
          <w:b/>
          <w:bCs/>
          <w:lang w:eastAsia="x-none"/>
        </w:rPr>
        <w:t>ეყნება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აწვდის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პრესაშ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სავარაუდოდ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lastRenderedPageBreak/>
        <w:t>საექსპროპრიაციო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(15.10.2010. N3717)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3065FE">
      <w:pPr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 </w:t>
      </w:r>
      <w:r>
        <w:rPr>
          <w:rFonts w:ascii="Sylfaen" w:eastAsia="Times New Roman" w:hAnsi="Sylfaen" w:cs="Sylfaen"/>
          <w:b/>
          <w:bCs/>
          <w:lang w:eastAsia="x-none"/>
        </w:rPr>
        <w:t>რაიონული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საქალაქო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გადაწყვეტილება</w:t>
      </w:r>
    </w:p>
    <w:p w:rsidR="00000000" w:rsidRDefault="003065FE">
      <w:pPr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ექსპროპრიაციის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მინიჭების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თაობაზე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N4204)</w:t>
      </w:r>
    </w:p>
    <w:p w:rsidR="00000000" w:rsidRDefault="003065FE">
      <w:pPr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ექსპროპრიაციის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სამართლო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N4204)</w:t>
      </w:r>
    </w:p>
    <w:p w:rsidR="00000000" w:rsidRDefault="003065FE">
      <w:pPr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ექსპროპრიაციის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(29.12.2006 N4204)</w:t>
      </w:r>
    </w:p>
    <w:p w:rsidR="00000000" w:rsidRDefault="003065FE">
      <w:pPr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t>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3065FE">
      <w:pPr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</w:t>
      </w:r>
      <w:r>
        <w:rPr>
          <w:rFonts w:ascii="Sylfaen" w:eastAsia="Times New Roman" w:hAnsi="Sylfaen" w:cs="Sylfaen"/>
          <w:lang w:eastAsia="x-none"/>
        </w:rPr>
        <w:t>ვნას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განცხადებისათვის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დეტალური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(15.10.2010. N3717);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საექსპროპრიაციო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დეტალური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3065FE">
      <w:pPr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N4204)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ექსპროპრიაციის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აუცილებელი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წინ</w:t>
      </w:r>
      <w:r>
        <w:rPr>
          <w:rFonts w:ascii="Sylfaen" w:eastAsia="Times New Roman" w:hAnsi="Sylfaen" w:cs="Sylfaen"/>
          <w:b/>
          <w:bCs/>
          <w:lang w:eastAsia="x-none"/>
        </w:rPr>
        <w:t>აპირობები</w:t>
      </w:r>
    </w:p>
    <w:p w:rsidR="00000000" w:rsidRDefault="003065FE">
      <w:pPr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ექსპროპრიატორი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უთანხმდება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საექსპროპრიაციო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ექსპროპრიატორი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მოლაპარაკების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აფასებს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გადასაცემ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საკომპენსაციო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საექსპროპრიაციო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N4204)</w:t>
      </w:r>
    </w:p>
    <w:p w:rsidR="00000000" w:rsidRDefault="003065FE">
      <w:pPr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მოლაპარაკების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საკომპენსაციო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საექსპროპრიაციო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ექსპროპრიატორი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მოსაკრებლისაგან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(06.09.2013. N1054)</w:t>
      </w:r>
    </w:p>
    <w:p w:rsidR="00000000" w:rsidRDefault="003065FE">
      <w:pPr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საექსპროპრიაციო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მოლაპარაკებისათვის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</w:t>
      </w:r>
      <w:r>
        <w:rPr>
          <w:rFonts w:ascii="Sylfaen" w:eastAsia="Times New Roman" w:hAnsi="Sylfaen" w:cs="Sylfaen"/>
          <w:lang w:eastAsia="x-none"/>
        </w:rPr>
        <w:t>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საკომპენსაციო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ძალდატანებითი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N4204)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</w:t>
      </w:r>
      <w:r>
        <w:rPr>
          <w:rFonts w:ascii="Sylfaen" w:eastAsia="Times New Roman" w:hAnsi="Sylfaen" w:cs="Sylfaen"/>
          <w:lang w:eastAsia="x-none"/>
        </w:rPr>
        <w:t>ასაც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უმნიშვნელოა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არაეკონომიურობის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ნაკლებად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გამოუსადეგარია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ექსპროპრიაციამდე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ჩასატარებელი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მოქმედებები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ექსპროპრიატორს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</w:t>
      </w:r>
      <w:r>
        <w:rPr>
          <w:rFonts w:ascii="Sylfaen" w:eastAsia="Times New Roman" w:hAnsi="Sylfaen" w:cs="Sylfaen"/>
          <w:lang w:eastAsia="x-none"/>
        </w:rPr>
        <w:t>ოპრიატორის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დაათვალიეროს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ექსპროპრიაციის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დასაბუთებას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</w:t>
      </w:r>
      <w:r>
        <w:rPr>
          <w:rFonts w:ascii="Sylfaen" w:eastAsia="Times New Roman" w:hAnsi="Sylfaen" w:cs="Sylfaen"/>
          <w:lang w:eastAsia="x-none"/>
        </w:rPr>
        <w:t>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(15.10.2010. N3717)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დასაბუთებას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საექსპროპრიაციო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დეტალურ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საკომპენსაციო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დეტალურ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N4204)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 </w:t>
      </w:r>
      <w:r>
        <w:rPr>
          <w:rFonts w:ascii="Sylfaen" w:eastAsia="Times New Roman" w:hAnsi="Sylfaen" w:cs="Sylfaen"/>
          <w:b/>
          <w:bCs/>
          <w:lang w:eastAsia="x-none"/>
        </w:rPr>
        <w:t>დავა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საბაზრო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ღირებულებასა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კომპენსაციაზე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N4204)</w:t>
      </w:r>
    </w:p>
    <w:p w:rsidR="00000000" w:rsidRDefault="003065FE">
      <w:pPr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ექსპროპრიატო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საკომპენსაციო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N4204)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ექსპროპრიატორის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საექსპროპრიაციო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დეტალური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3065FE">
      <w:pPr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რაიონული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საქალაქო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ექსპროპრიაციის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N4204)</w:t>
      </w:r>
    </w:p>
    <w:p w:rsidR="00000000" w:rsidRDefault="003065FE">
      <w:pPr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>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საექსპროპრიაციო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N4204)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3065FE">
      <w:pPr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შეფასება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N4204)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საექსპროპრიაციო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საბაზრო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საექსპროპრიაციო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სანაცვლოდ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 </w:t>
      </w:r>
      <w:r>
        <w:rPr>
          <w:rFonts w:ascii="Sylfaen" w:eastAsia="Times New Roman" w:hAnsi="Sylfaen" w:cs="Sylfaen"/>
          <w:b/>
          <w:bCs/>
          <w:lang w:eastAsia="x-none"/>
        </w:rPr>
        <w:t>ექსპროპრიატორის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ვალდებულებანი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ექსპროპრი</w:t>
      </w:r>
      <w:r>
        <w:rPr>
          <w:rFonts w:ascii="Sylfaen" w:eastAsia="Times New Roman" w:hAnsi="Sylfaen" w:cs="Sylfaen"/>
          <w:lang w:eastAsia="x-none"/>
        </w:rPr>
        <w:t>ატორი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საექსპროპრიაციო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3065FE">
      <w:pPr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 </w:t>
      </w:r>
      <w:r>
        <w:rPr>
          <w:rFonts w:ascii="Sylfaen" w:eastAsia="Times New Roman" w:hAnsi="Sylfaen" w:cs="Sylfaen"/>
          <w:b/>
          <w:bCs/>
          <w:lang w:eastAsia="x-none"/>
        </w:rPr>
        <w:t>სასოფლო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სამეურნეო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მიწის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შეფასება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N4204)</w:t>
      </w:r>
    </w:p>
    <w:p w:rsidR="00000000" w:rsidRDefault="003065FE">
      <w:pPr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გაითვალისწინება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გამოიანგარიშება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მიწებ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თესვა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გაითვალისწინება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23 </w:t>
      </w:r>
      <w:r>
        <w:rPr>
          <w:rFonts w:ascii="Sylfaen" w:eastAsia="Times New Roman" w:hAnsi="Sylfaen" w:cs="Sylfaen"/>
          <w:lang w:eastAsia="x-none"/>
        </w:rPr>
        <w:t>ივლისი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N 2349 - </w:t>
      </w:r>
      <w:r>
        <w:rPr>
          <w:rFonts w:ascii="Sylfaen" w:eastAsia="Times New Roman" w:hAnsi="Sylfaen" w:cs="Sylfaen"/>
          <w:lang w:eastAsia="x-none"/>
        </w:rPr>
        <w:t>რს</w:t>
      </w:r>
    </w:p>
    <w:p w:rsidR="00000000" w:rsidRDefault="003065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65FE"/>
    <w:rsid w:val="0030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paragraph" w:styleId="BodyText">
    <w:name w:val="Body Text"/>
    <w:basedOn w:val="Normal"/>
    <w:link w:val="BodyTextChar"/>
    <w:uiPriority w:val="99"/>
    <w:pPr>
      <w:ind w:left="101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1731</Words>
  <Characters>9870</Characters>
  <Application>Microsoft Office Word</Application>
  <DocSecurity>0</DocSecurity>
  <Lines>82</Lines>
  <Paragraphs>23</Paragraphs>
  <ScaleCrop>false</ScaleCrop>
  <Company/>
  <LinksUpToDate>false</LinksUpToDate>
  <CharactersWithSpaces>11578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