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9C7C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10E115F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3BD3891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წოდებების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0D2FB7FE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AB25047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№48, 2000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137)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5BEBF29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21B85C0B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;“. </w:t>
      </w:r>
    </w:p>
    <w:p w14:paraId="38AFC4CC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(20.09.2019 4982)</w:t>
      </w:r>
    </w:p>
    <w:p w14:paraId="4A1DA5CB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წოდებები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6E6E34DC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4EECD24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I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40A33D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– 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2C327BC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jc w:val="both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–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."</w:t>
      </w:r>
    </w:p>
    <w:p w14:paraId="23D84991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N4900)</w:t>
      </w:r>
    </w:p>
    <w:p w14:paraId="3B8AF33A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CA1D0B6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46D0AB63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E4BC390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4B9A59E8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B77F703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N3290-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444C3735" w14:textId="77777777" w:rsidR="00000000" w:rsidRDefault="007D5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5E81"/>
    <w:rsid w:val="007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83D7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