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მნიშვნელობის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სიმბოლოების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აფხაზეთისა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-7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ჰიმნი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ინსიგნია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გერბი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პასპორტი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ბინადრობის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აღლუმი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სარიტუალო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სადღესასწაულო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ემბლემა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ინსიგნია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მედალიონი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კვერთხი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გადმოიცემა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იერარქიული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ურთიერთდამოკ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ჯილდო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მედალიონი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სიგელი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დიპლომი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დამტკიცება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აღმართვა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გამოფენა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გამოსახვა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(17.12.2021 N1166)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გასამხედროებული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დიზაინს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გასამხედროებული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სახელწოდებასაც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აღწერილობას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შესათანხმებლად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დაფუძნებული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7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პარამეტრის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ჩამოიხსნება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გამოიფინება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გამოისახება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სახეცვლილი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III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დებულებები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9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ჰერალდიკის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(17.12.2021 N1166)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შეიმუშაოს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გამოფენისა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 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CC26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N4313-II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CC26DA">
      <w:pPr>
        <w:pStyle w:val="Normal0"/>
        <w:rPr>
          <w:rFonts w:ascii="Sylfaen" w:eastAsia="Times New Roman" w:hAnsi="Sylfaen" w:cs="Sylfaen"/>
          <w:lang w:val="en-US"/>
        </w:rPr>
      </w:pP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C26DA"/>
    <w:rsid w:val="00CC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1526</Words>
  <Characters>8699</Characters>
  <Application>Microsoft Office Word</Application>
  <DocSecurity>0</DocSecurity>
  <Lines>72</Lines>
  <Paragraphs>20</Paragraphs>
  <ScaleCrop>false</ScaleCrop>
  <Company/>
  <LinksUpToDate>false</LinksUpToDate>
  <CharactersWithSpaces>10205</CharactersWithSpaces>
  <SharedDoc>false</SharedDoc>
  <HyperlinkBase>C:\Users\Codex\AppData\Local\Temp\637759844712160230\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