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BB71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10/06/2019</w:t>
      </w:r>
    </w:p>
    <w:p w14:paraId="66C0902D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</w:t>
      </w:r>
    </w:p>
    <w:p w14:paraId="0467FC0C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020000000.05.001.019506</w:t>
      </w:r>
    </w:p>
    <w:p w14:paraId="243D08D7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ka-GE" w:eastAsia="ka-GE"/>
        </w:rPr>
      </w:pPr>
    </w:p>
    <w:p w14:paraId="5488E796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14:paraId="23294A46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14:paraId="02131EAC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328C6BA6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4"/>
          <w:szCs w:val="24"/>
          <w:lang w:eastAsia="x-none"/>
        </w:rPr>
      </w:pPr>
    </w:p>
    <w:p w14:paraId="500A9DDE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№12, 1984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421)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25720F8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შინაარსის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:</w:t>
      </w:r>
    </w:p>
    <w:p w14:paraId="2398A356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152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:</w:t>
      </w:r>
    </w:p>
    <w:p w14:paraId="31BEDA88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ებებისა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</w:p>
    <w:p w14:paraId="01D26768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7FD5A5A4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1 000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24092DF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14:paraId="424F3D05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1 000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4E4B1A5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</w:p>
    <w:p w14:paraId="047FF610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1 000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2 000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C0F85AD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14:paraId="3A880ABA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2 000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6 000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01042FC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სპლუატაციიდან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5AE686FA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500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8D4FEF5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6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14:paraId="7E45EA8C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500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B43EC20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7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</w:p>
    <w:p w14:paraId="57C67DC9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500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1 000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4D47304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14:paraId="154D48FB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1 000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0F587A5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14:paraId="7661A333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ABEC8B3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152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4264788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დაჭრა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დახერხვა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დაქუცმაცება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მტვერჩახშობას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6B92F157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1 000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F4174A3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14:paraId="0D248FEC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1 000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EB20A34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F3E52F2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500D087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152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B4C90DF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ნაწილაკების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მოხვედრის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35EC64E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EA6B97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14:paraId="2D2E3DBF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500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203A393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0A71A6A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5AD3071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7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</w:p>
    <w:p w14:paraId="40285A62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ნაწილაკების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მოხვედრის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67203AB0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787104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14:paraId="599482B0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500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1668AC8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მოედნიდან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ძარაგაურეცხავი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საბურავგაურეცხავი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45E6E343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A95B8E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14:paraId="0D2A24BD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1 000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4D02B72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11F8483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12B761A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152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ბეტონმზიდი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მანქანის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მანქანიდან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ბეტონის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დაღვრა</w:t>
      </w:r>
    </w:p>
    <w:p w14:paraId="4B5E751F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ბეტონმზიდი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მანქანის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მანქანიდან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ბეტონის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1C01084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463ACC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14:paraId="614A6958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1 000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EB83F83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D699007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5C75E18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C719ACE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D4CB3BF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152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მოედანზე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შეუფუთავი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29850DF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მოედანზე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შეუფუთავი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ნაწილაკების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მოხვედრის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863547A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ACA183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14:paraId="5ABD0C95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1 000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198A2D9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eastAsia="x-none"/>
        </w:rPr>
        <w:t>.</w:t>
      </w:r>
    </w:p>
    <w:p w14:paraId="77AC15D4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2. 209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FCE4C4C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851B0D6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86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107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–107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107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108-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114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114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116-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–116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118-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–119-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127-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127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128</w:t>
      </w:r>
      <w:r>
        <w:rPr>
          <w:rFonts w:ascii="Sylfae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129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134-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135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135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>, 139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153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171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)), 174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174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174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181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182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182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190-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190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191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.“;</w:t>
      </w:r>
    </w:p>
    <w:p w14:paraId="00F9E88C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E5AFE6E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114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171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190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.“.</w:t>
      </w:r>
    </w:p>
    <w:p w14:paraId="53DF84F2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hAnsi="Sylfaen" w:cs="Sylfaen"/>
          <w:sz w:val="24"/>
          <w:szCs w:val="24"/>
          <w:lang w:eastAsia="x-none"/>
        </w:rPr>
        <w:t>209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0FC2C17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5344D5E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>, 77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82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პლასტიკის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), 103-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–107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114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125-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hAnsi="Sylfaen" w:cs="Sylfaen"/>
          <w:sz w:val="24"/>
          <w:szCs w:val="24"/>
          <w:lang w:eastAsia="x-none"/>
        </w:rPr>
        <w:t>, 125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>125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135-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>135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148-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ka-GE"/>
        </w:rPr>
        <w:t>150-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150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hAnsi="Sylfaen" w:cs="Sylfaen"/>
          <w:sz w:val="24"/>
          <w:szCs w:val="24"/>
          <w:lang w:eastAsia="x-none"/>
        </w:rPr>
        <w:t>151-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151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GB" w:eastAsia="en-GB"/>
        </w:rPr>
        <w:t>152</w:t>
      </w:r>
      <w:r>
        <w:rPr>
          <w:rFonts w:ascii="Sylfaen" w:hAnsi="Sylfaen" w:cs="Sylfaen"/>
          <w:position w:val="12"/>
          <w:sz w:val="24"/>
          <w:szCs w:val="24"/>
          <w:lang w:val="en-GB" w:eastAsia="en-GB"/>
        </w:rPr>
        <w:t>3</w:t>
      </w:r>
      <w:r>
        <w:rPr>
          <w:rFonts w:ascii="Sylfaen" w:eastAsia="Times New Roman" w:hAnsi="Sylfaen" w:cs="Sylfaen"/>
          <w:sz w:val="24"/>
          <w:szCs w:val="24"/>
          <w:lang w:val="en-GB" w:eastAsia="en-GB"/>
        </w:rPr>
        <w:t>–152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9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hAnsi="Sylfaen" w:cs="Sylfaen"/>
          <w:sz w:val="24"/>
          <w:szCs w:val="24"/>
          <w:lang w:eastAsia="x-none"/>
        </w:rPr>
        <w:t>153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6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>, 156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158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14:paraId="6288CEE9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576B097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პლასტიკის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119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156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25615292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3.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77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77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135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150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152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>, 153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>, 156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158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158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4 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შეუფარდებს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).“;</w:t>
      </w:r>
    </w:p>
    <w:p w14:paraId="21A969FB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B538BD6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„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55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, 77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, 77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, 103-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107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114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125-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-12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125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125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-4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125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130-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135-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135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146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148-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150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150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151-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151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, 151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 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153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ნაწილებითა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153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, 158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158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ჩივრებისას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“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</w:p>
    <w:p w14:paraId="4F287FC9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>. 239-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FBB235A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9480BAA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58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100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107-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107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114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114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      116-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–116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118-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135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135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>, 139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150-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>, 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153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153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  173-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174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174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>, 174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>, 175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176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177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180-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–183-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190-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190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191-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.“;</w:t>
      </w:r>
    </w:p>
    <w:p w14:paraId="4BF435AD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2BBFB2C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„</w:t>
      </w:r>
      <w:r>
        <w:rPr>
          <w:rFonts w:ascii="Sylfaen" w:hAnsi="Sylfaen" w:cs="Sylfaen"/>
          <w:sz w:val="24"/>
          <w:szCs w:val="24"/>
          <w:lang w:eastAsia="x-none"/>
        </w:rPr>
        <w:t xml:space="preserve">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77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77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107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125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125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135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>, 146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150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150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151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153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>, 156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158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.“.</w:t>
      </w:r>
    </w:p>
    <w:p w14:paraId="309FB235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hAnsi="Sylfaen" w:cs="Sylfaen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9847264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925700B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107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114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116-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–116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 123-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129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135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–135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>, 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>, 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>, 190-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გამოეწერება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.“;</w:t>
      </w:r>
    </w:p>
    <w:p w14:paraId="5C4850CD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D50BD82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150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150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151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153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>, 158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გამოეწერება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.“. </w:t>
      </w:r>
    </w:p>
    <w:p w14:paraId="7D8319C9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6. 291-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9813400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„5. </w:t>
      </w:r>
      <w:r>
        <w:rPr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–119-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> </w:t>
      </w:r>
      <w:r>
        <w:rPr>
          <w:rFonts w:ascii="Sylfaen" w:hAnsi="Sylfaen" w:cs="Sylfaen"/>
          <w:sz w:val="24"/>
          <w:szCs w:val="24"/>
          <w:lang w:val="ka-GE" w:eastAsia="ka-GE"/>
        </w:rPr>
        <w:t>120-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> </w:t>
      </w:r>
      <w:r>
        <w:rPr>
          <w:rFonts w:ascii="Sylfaen" w:hAnsi="Sylfaen" w:cs="Sylfaen"/>
          <w:sz w:val="24"/>
          <w:szCs w:val="24"/>
          <w:lang w:val="ka-GE" w:eastAsia="ka-GE"/>
        </w:rPr>
        <w:t>125-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> </w:t>
      </w:r>
      <w:r>
        <w:rPr>
          <w:rFonts w:ascii="Sylfaen" w:hAnsi="Sylfaen" w:cs="Sylfaen"/>
          <w:sz w:val="24"/>
          <w:szCs w:val="24"/>
          <w:lang w:val="ka-GE" w:eastAsia="ka-GE"/>
        </w:rPr>
        <w:t>127-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> </w:t>
      </w:r>
      <w:r>
        <w:rPr>
          <w:rFonts w:ascii="Sylfaen" w:hAnsi="Sylfaen" w:cs="Sylfaen"/>
          <w:sz w:val="24"/>
          <w:szCs w:val="24"/>
          <w:lang w:val="ka-GE" w:eastAsia="ka-GE"/>
        </w:rPr>
        <w:t>127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129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.“.</w:t>
      </w:r>
    </w:p>
    <w:p w14:paraId="5CB4A0C4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88864F5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</w:p>
    <w:p w14:paraId="4395D81B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6905A20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DE610E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3E3159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CF8064F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  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eastAsia="x-none"/>
        </w:rPr>
        <w:t xml:space="preserve">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ზურაბიშვილი</w:t>
      </w:r>
    </w:p>
    <w:p w14:paraId="521702E1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7D64715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5271C632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CD56A2" w14:textId="77777777" w:rsidR="00000000" w:rsidRDefault="006E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№</w:t>
      </w:r>
      <w:r>
        <w:rPr>
          <w:rFonts w:ascii="Sylfaen" w:hAnsi="Sylfaen" w:cs="Sylfaen"/>
          <w:sz w:val="24"/>
          <w:szCs w:val="24"/>
          <w:lang w:eastAsia="x-none"/>
        </w:rPr>
        <w:t>4750-II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14:paraId="6D818953" w14:textId="77777777" w:rsidR="00000000" w:rsidRDefault="006E46BE">
      <w:pPr>
        <w:pStyle w:val="Normal0"/>
        <w:rPr>
          <w:rFonts w:ascii="Sylfaen" w:hAnsi="Sylfaen" w:cs="Sylfaen"/>
          <w:lang w:eastAsia="x-none"/>
        </w:rPr>
      </w:pPr>
    </w:p>
    <w:sectPr w:rsidR="00000000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E46BE"/>
    <w:rsid w:val="006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0EEB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2770</Words>
  <Characters>15794</Characters>
  <Application>Microsoft Office Word</Application>
  <DocSecurity>0</DocSecurity>
  <Lines>131</Lines>
  <Paragraphs>37</Paragraphs>
  <ScaleCrop>false</ScaleCrop>
  <Company/>
  <LinksUpToDate>false</LinksUpToDate>
  <CharactersWithSpaces>18527</CharactersWithSpaces>
  <SharedDoc>false</SharedDoc>
  <HyperlinkBase>D:\asmati\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