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სისხლის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სამართლის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კოდექსში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ცვლილებებისა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დამატების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hAnsi="Sylfaen" w:cs="Sylfaen"/>
          <w:lang w:eastAsia="x-none"/>
        </w:rPr>
      </w:pP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კოდექსში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მაცნე</w:t>
      </w:r>
      <w:r>
        <w:rPr>
          <w:rFonts w:ascii="Sylfaen" w:eastAsia="Times New Roman" w:hAnsi="Sylfaen" w:cs="Sylfaen"/>
          <w:lang w:eastAsia="x-none"/>
        </w:rPr>
        <w:t xml:space="preserve">, N41(48), 1999 </w:t>
      </w:r>
      <w:r>
        <w:rPr>
          <w:rFonts w:ascii="Sylfaen" w:eastAsia="Times New Roman" w:hAnsi="Sylfaen" w:cs="Sylfaen"/>
          <w:lang w:eastAsia="x-none"/>
        </w:rPr>
        <w:t>წელი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მუხ</w:t>
      </w:r>
      <w:r>
        <w:rPr>
          <w:rFonts w:ascii="Sylfaen" w:eastAsia="Times New Roman" w:hAnsi="Sylfaen" w:cs="Sylfaen"/>
          <w:lang w:eastAsia="x-none"/>
        </w:rPr>
        <w:t xml:space="preserve">. 209) </w:t>
      </w:r>
      <w:r>
        <w:rPr>
          <w:rFonts w:ascii="Sylfaen" w:eastAsia="Times New Roman" w:hAnsi="Sylfaen" w:cs="Sylfaen"/>
          <w:lang w:eastAsia="x-none"/>
        </w:rPr>
        <w:t>შეტანილ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-15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ჩამოყალიბდეს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რედაქციით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„1. </w:t>
      </w:r>
      <w:r>
        <w:rPr>
          <w:rFonts w:ascii="Sylfaen" w:eastAsia="Times New Roman" w:hAnsi="Sylfaen" w:cs="Sylfaen"/>
          <w:lang w:eastAsia="x-none"/>
        </w:rPr>
        <w:t>არაერთგზისი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ნასამართლევი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სხვადასხვა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არაერთგზის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მუხლში</w:t>
      </w:r>
      <w:r>
        <w:rPr>
          <w:rFonts w:ascii="Sylfaen" w:eastAsia="Times New Roman" w:hAnsi="Sylfaen" w:cs="Sylfaen"/>
          <w:lang w:eastAsia="x-none"/>
        </w:rPr>
        <w:t>.“;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2. 50-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დაემატოს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შინაარსის</w:t>
      </w:r>
      <w:r>
        <w:rPr>
          <w:rFonts w:ascii="Sylfaen" w:eastAsia="Times New Roman" w:hAnsi="Sylfaen" w:cs="Sylfaen"/>
          <w:lang w:eastAsia="x-none"/>
        </w:rPr>
        <w:t xml:space="preserve"> 2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„2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</w:t>
      </w:r>
      <w:r>
        <w:rPr>
          <w:rFonts w:ascii="Sylfaen" w:eastAsia="Times New Roman" w:hAnsi="Sylfaen" w:cs="Sylfaen"/>
          <w:lang w:eastAsia="x-none"/>
        </w:rPr>
        <w:t>ოსილია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უდაბლეს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ზღვარზე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>.“;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-6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3. 83-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ჩამოყალიბდეს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რედაქციით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„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83. </w:t>
      </w:r>
      <w:r>
        <w:rPr>
          <w:rFonts w:ascii="Sylfaen" w:eastAsia="Times New Roman" w:hAnsi="Sylfaen" w:cs="Sylfaen"/>
          <w:lang w:eastAsia="x-none"/>
        </w:rPr>
        <w:t>ჯარიმა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არასრულწლ</w:t>
      </w:r>
      <w:r>
        <w:rPr>
          <w:rFonts w:ascii="Sylfaen" w:eastAsia="Times New Roman" w:hAnsi="Sylfaen" w:cs="Sylfaen"/>
          <w:lang w:eastAsia="x-none"/>
        </w:rPr>
        <w:t>ოვანს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ჯარიმა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ენიშნება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42-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.“. 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4. 88-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ჩამოყალიბდეს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რედაქციით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„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88. </w:t>
      </w:r>
      <w:r>
        <w:rPr>
          <w:rFonts w:ascii="Sylfaen" w:eastAsia="Times New Roman" w:hAnsi="Sylfaen" w:cs="Sylfaen"/>
          <w:lang w:eastAsia="x-none"/>
        </w:rPr>
        <w:t>ვადიანი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აღკვეთა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1.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თორმეტიდან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თოთხმეტ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დაენიშნება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მძიმე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განსაკუთრები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მძიმე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ჩადენისათვის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2.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თორმეტიდან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თოთხმეტ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განახევრდება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საბოლოო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წელს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3.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თოთხმეტიდან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თექვსმეტ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</w:t>
      </w:r>
      <w:r>
        <w:rPr>
          <w:rFonts w:ascii="Sylfaen" w:eastAsia="Times New Roman" w:hAnsi="Sylfaen" w:cs="Sylfaen"/>
          <w:lang w:eastAsia="x-none"/>
        </w:rPr>
        <w:t>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მესამედით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საბოლოო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წელს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4.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თექვსმეტიდან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თვრამეტ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მეოთხედით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lastRenderedPageBreak/>
        <w:t>საბოლოო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თხუთმეტ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წელს</w:t>
      </w:r>
      <w:r>
        <w:rPr>
          <w:rFonts w:ascii="Sylfaen" w:eastAsia="Times New Roman" w:hAnsi="Sylfaen" w:cs="Sylfaen"/>
          <w:lang w:eastAsia="x-none"/>
        </w:rPr>
        <w:t>.“.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-100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ჩამოყალიბდეს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რედაქციით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„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100. </w:t>
      </w:r>
      <w:r>
        <w:rPr>
          <w:rFonts w:ascii="Sylfaen" w:eastAsia="Times New Roman" w:hAnsi="Sylfaen" w:cs="Sylfaen"/>
          <w:lang w:eastAsia="x-none"/>
        </w:rPr>
        <w:t>ნასამართლობის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გაქარწყლება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იმას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ვინც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თვრამეტ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ჩაიდინა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ნასამართლობა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გაუქარწყლდება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მსჯავრდებისას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გამოსაცდელი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მსუბუქი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მსჯავრდებისას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ნაკლებად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მძიმე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მსჯავრდებისას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მძიმე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მსჯავრდებისას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განსაკუთრებით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მძიმე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მსჯავრდებისას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ხუთი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>.“.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6. 178-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ჩამოყალიბდეს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რედაქციით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„2. </w:t>
      </w:r>
      <w:r>
        <w:rPr>
          <w:rFonts w:ascii="Sylfaen" w:eastAsia="Times New Roman" w:hAnsi="Sylfaen" w:cs="Sylfaen"/>
          <w:lang w:eastAsia="x-none"/>
        </w:rPr>
        <w:t>იგივე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რამაც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ნიშვნელოვანი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გამოიწვია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ჩადენილი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სადგომში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საცავში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შეღწევით</w:t>
      </w:r>
      <w:r>
        <w:rPr>
          <w:rFonts w:ascii="Sylfaen" w:eastAsia="Times New Roman" w:hAnsi="Sylfaen" w:cs="Sylfaen"/>
          <w:lang w:eastAsia="x-none"/>
        </w:rPr>
        <w:t>, –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ისჯება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ოთხიდან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წლამდე</w:t>
      </w:r>
      <w:r>
        <w:rPr>
          <w:rFonts w:ascii="Sylfaen" w:eastAsia="Times New Roman" w:hAnsi="Sylfaen" w:cs="Sylfaen"/>
          <w:lang w:eastAsia="x-none"/>
        </w:rPr>
        <w:t>.“.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7. 194-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ჩამოყალიბდეს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რედაქციით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„1. </w:t>
      </w:r>
      <w:r>
        <w:rPr>
          <w:rFonts w:ascii="Sylfaen" w:eastAsia="Times New Roman" w:hAnsi="Sylfaen" w:cs="Sylfaen"/>
          <w:lang w:eastAsia="x-none"/>
        </w:rPr>
        <w:t>უკანონო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ლეგალიზაცია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დაუსაბუთებელი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ქონებით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კონვერსია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დაფარვის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ნამდვილი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ადგილმდებარეობის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განთავსების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შენიღბვა</w:t>
      </w:r>
      <w:r>
        <w:rPr>
          <w:rFonts w:ascii="Sylfaen" w:eastAsia="Times New Roman" w:hAnsi="Sylfaen" w:cs="Sylfaen"/>
          <w:lang w:eastAsia="x-none"/>
        </w:rPr>
        <w:t>, –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ისჯება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ჯარიმით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ოთხ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წლამდე</w:t>
      </w:r>
      <w:r>
        <w:rPr>
          <w:rFonts w:ascii="Sylfaen" w:eastAsia="Times New Roman" w:hAnsi="Sylfaen" w:cs="Sylfaen"/>
          <w:lang w:eastAsia="x-none"/>
        </w:rPr>
        <w:t>.“;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შენიშვნა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ჩამოყალიბდეს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რედაქციით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lang w:eastAsia="x-none"/>
        </w:rPr>
        <w:t>„</w:t>
      </w:r>
      <w:r>
        <w:rPr>
          <w:rFonts w:ascii="Sylfaen" w:eastAsia="Times New Roman" w:hAnsi="Sylfaen" w:cs="Sylfaen"/>
          <w:lang w:eastAsia="x-none"/>
        </w:rPr>
        <w:t>შენიშვნა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მიზნებისათვი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შემოსავალი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აქციები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წილი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ახლო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დაუსაბუთებელ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</w:t>
      </w:r>
      <w:r>
        <w:rPr>
          <w:rFonts w:ascii="Sylfaen" w:eastAsia="Times New Roman" w:hAnsi="Sylfaen" w:cs="Sylfaen"/>
          <w:lang w:eastAsia="x-none"/>
        </w:rPr>
        <w:t>ონებად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შემოსავალი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აქციები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წილი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ახლო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გააჩნია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</w:t>
      </w:r>
      <w:r>
        <w:rPr>
          <w:rFonts w:ascii="Sylfaen" w:eastAsia="Times New Roman" w:hAnsi="Sylfaen" w:cs="Sylfaen"/>
          <w:lang w:eastAsia="x-none"/>
        </w:rPr>
        <w:t>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გასხვისების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სახსრებით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ოცდაათი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ათასი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lastRenderedPageBreak/>
        <w:t>ლარიდან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ორმოცდაათ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ლარამდე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ოდენობად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შემოსავალი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ორმოცდაათი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ათასი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ზევით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</w:t>
      </w:r>
      <w:r>
        <w:rPr>
          <w:rFonts w:ascii="Sylfaen" w:eastAsia="Times New Roman" w:hAnsi="Sylfaen" w:cs="Sylfaen"/>
          <w:lang w:eastAsia="x-none"/>
        </w:rPr>
        <w:t>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ისჯება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ჯარიმით</w:t>
      </w:r>
      <w:r>
        <w:rPr>
          <w:rFonts w:ascii="Sylfaen" w:eastAsia="Times New Roman" w:hAnsi="Sylfaen" w:cs="Sylfaen"/>
          <w:lang w:eastAsia="x-none"/>
        </w:rPr>
        <w:t>.“.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8. 378-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>–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ნაწილები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ჩამოყალიბდეს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რედაქციით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„1.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მოთხოვნისად</w:t>
      </w:r>
      <w:r>
        <w:rPr>
          <w:rFonts w:ascii="Sylfaen" w:eastAsia="Times New Roman" w:hAnsi="Sylfaen" w:cs="Sylfaen"/>
          <w:lang w:eastAsia="x-none"/>
        </w:rPr>
        <w:t>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დაუმორჩილებლობა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შეშლა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დეზორგანიზაცია</w:t>
      </w:r>
      <w:r>
        <w:rPr>
          <w:rFonts w:ascii="Sylfaen" w:eastAsia="Times New Roman" w:hAnsi="Sylfaen" w:cs="Sylfaen"/>
          <w:lang w:eastAsia="x-none"/>
        </w:rPr>
        <w:t>, –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ისჯება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წლამდე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</w:t>
      </w:r>
      <w:r>
        <w:rPr>
          <w:rFonts w:ascii="Sylfaen" w:eastAsia="Times New Roman" w:hAnsi="Sylfaen" w:cs="Sylfaen"/>
          <w:lang w:eastAsia="x-none"/>
        </w:rPr>
        <w:t>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შეშლის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>, –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ისჯება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ხუთ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წლამდე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თავდასხმა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დაჯგუფების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დაჯგუფებაში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>, –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ისჯება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ექვსიდან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წლამდე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იგივე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საშიშია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ჯანმრთელობისათვის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ჩად</w:t>
      </w:r>
      <w:r>
        <w:rPr>
          <w:rFonts w:ascii="Sylfaen" w:eastAsia="Times New Roman" w:hAnsi="Sylfaen" w:cs="Sylfaen"/>
          <w:lang w:eastAsia="x-none"/>
        </w:rPr>
        <w:t>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არაერთგზის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რამაც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გამოიწვია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მძიმე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შედეგი</w:t>
      </w:r>
      <w:r>
        <w:rPr>
          <w:rFonts w:ascii="Sylfaen" w:eastAsia="Times New Roman" w:hAnsi="Sylfaen" w:cs="Sylfaen"/>
          <w:lang w:eastAsia="x-none"/>
        </w:rPr>
        <w:t xml:space="preserve">, –  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ისჯება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წლამდე</w:t>
      </w:r>
      <w:r>
        <w:rPr>
          <w:rFonts w:ascii="Sylfaen" w:eastAsia="Times New Roman" w:hAnsi="Sylfaen" w:cs="Sylfaen"/>
          <w:lang w:eastAsia="x-none"/>
        </w:rPr>
        <w:t>.“.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9. 378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378</w:t>
      </w:r>
      <w:r>
        <w:rPr>
          <w:rFonts w:ascii="Sylfaen" w:hAnsi="Sylfaen" w:cs="Sylfaen"/>
          <w:position w:val="6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ჩამოყალიბდეს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რედაქციით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„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378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სასჯელაღსრულების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დროებითი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</w:t>
      </w:r>
      <w:r>
        <w:rPr>
          <w:rFonts w:ascii="Sylfaen" w:eastAsia="Times New Roman" w:hAnsi="Sylfaen" w:cs="Sylfaen"/>
          <w:lang w:eastAsia="x-none"/>
        </w:rPr>
        <w:t>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იზოლატორსა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</w:t>
      </w:r>
      <w:r>
        <w:rPr>
          <w:rFonts w:ascii="Sylfaen" w:eastAsia="Times New Roman" w:hAnsi="Sylfaen" w:cs="Sylfaen"/>
          <w:lang w:eastAsia="x-none"/>
        </w:rPr>
        <w:t>აუპტვახტში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სასჯელაღსრულების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დროებითი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იზოლატორსა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ჰაუპტვახტში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>, –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ისჯება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ჯარიმით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წლა</w:t>
      </w:r>
      <w:r>
        <w:rPr>
          <w:rFonts w:ascii="Sylfaen" w:eastAsia="Times New Roman" w:hAnsi="Sylfaen" w:cs="Sylfaen"/>
          <w:lang w:eastAsia="x-none"/>
        </w:rPr>
        <w:t>მდე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იგივე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ჩადენილი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არაერთგზის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ჩადენილი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378-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–379-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ჩადენილი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ჩადენილი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ნარკოტიკული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ანალოგის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პრეკურსორის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ჩადენილი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ფსიქოტროპული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ანალოგის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ძლიერმოქმედი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ჩადენილი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რამაც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გამოიწვია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მძიმე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შედეგი</w:t>
      </w:r>
      <w:r>
        <w:rPr>
          <w:rFonts w:ascii="Sylfaen" w:eastAsia="Times New Roman" w:hAnsi="Sylfaen" w:cs="Sylfaen"/>
          <w:lang w:eastAsia="x-none"/>
        </w:rPr>
        <w:t>, –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ისჯება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ხუთ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წლამდე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3.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ჩადენილი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გამოყენებით</w:t>
      </w:r>
      <w:r>
        <w:rPr>
          <w:rFonts w:ascii="Sylfaen" w:eastAsia="Times New Roman" w:hAnsi="Sylfaen" w:cs="Sylfaen"/>
          <w:lang w:eastAsia="x-none"/>
        </w:rPr>
        <w:t>, –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ისჯება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ხუთიდან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წლამდე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შენიშვნა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აკრძალულ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საგნებისა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ნივთებისა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იქონიოს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ასჯელაღსრულების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დროებითი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იზოლატორსა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ჰაუპტვახტში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მოთავსებულმა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378</w:t>
      </w:r>
      <w:r>
        <w:rPr>
          <w:rFonts w:ascii="Sylfaen" w:hAnsi="Sylfaen" w:cs="Sylfaen"/>
          <w:position w:val="6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სასჯელაღსრულების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დროებითი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</w:t>
      </w:r>
      <w:r>
        <w:rPr>
          <w:rFonts w:ascii="Sylfaen" w:eastAsia="Times New Roman" w:hAnsi="Sylfaen" w:cs="Sylfaen"/>
          <w:lang w:eastAsia="x-none"/>
        </w:rPr>
        <w:t>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იზოლატორსა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ჰაუპტვახტში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ტარება</w:t>
      </w:r>
      <w:r>
        <w:rPr>
          <w:rFonts w:ascii="Sylfaen" w:eastAsia="Times New Roman" w:hAnsi="Sylfaen" w:cs="Sylfaen"/>
          <w:lang w:eastAsia="x-none"/>
        </w:rPr>
        <w:t xml:space="preserve">, 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სასჯელაღსრულების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დროებითი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იზოლატორსა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ჰაუპტვახტში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ტარება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</w:t>
      </w:r>
      <w:r>
        <w:rPr>
          <w:rFonts w:ascii="Sylfaen" w:eastAsia="Times New Roman" w:hAnsi="Sylfaen" w:cs="Sylfaen"/>
          <w:lang w:eastAsia="x-none"/>
        </w:rPr>
        <w:t>, –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ისჯება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წლამდე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>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ჩადენილი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არაერთგზის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ჩადენილი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378-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–379-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რამაც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გამოიწვია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მძიმე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შედეგი</w:t>
      </w:r>
      <w:r>
        <w:rPr>
          <w:rFonts w:ascii="Sylfaen" w:eastAsia="Times New Roman" w:hAnsi="Sylfaen" w:cs="Sylfaen"/>
          <w:lang w:eastAsia="x-none"/>
        </w:rPr>
        <w:t>, –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ისჯება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ხუთ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წლამდე</w:t>
      </w:r>
      <w:r>
        <w:rPr>
          <w:rFonts w:ascii="Sylfaen" w:eastAsia="Times New Roman" w:hAnsi="Sylfaen" w:cs="Sylfaen"/>
          <w:lang w:eastAsia="x-none"/>
        </w:rPr>
        <w:t>.“.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ამოქმედებამდე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ქმედებებზე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როდესაც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ჩაიდინა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შემდგომ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ძალადაკარგულად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იქნეს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ცნობილი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„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სისხლის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სამა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რთლის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კოდექსში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ცვლილებებისა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დამატების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შეტანის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შესახებ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“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2007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4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ივლისის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№5196-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რს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-2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საკონსტიტუციო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სასამართლოს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გადაწყვეტილება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20.09.2019. №2/4/1365)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-15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                                            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მიხეილ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სააკაშვილი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თბილისი</w:t>
      </w:r>
      <w:r>
        <w:rPr>
          <w:rFonts w:ascii="Sylfaen" w:eastAsia="Times New Roman" w:hAnsi="Sylfaen" w:cs="Sylfaen"/>
          <w:lang w:eastAsia="x-none"/>
        </w:rPr>
        <w:t>,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2007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ივლისი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A4709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N 5196 – </w:t>
      </w:r>
      <w:r>
        <w:rPr>
          <w:rFonts w:ascii="Sylfaen" w:eastAsia="Times New Roman" w:hAnsi="Sylfaen" w:cs="Sylfaen"/>
          <w:lang w:eastAsia="x-none"/>
        </w:rPr>
        <w:t>რს</w:t>
      </w:r>
    </w:p>
    <w:p w:rsidR="00000000" w:rsidRDefault="00CA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A4709"/>
    <w:rsid w:val="00CA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  <w:lang w:val="x-none"/>
    </w:r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val="x-none"/>
    </w:rPr>
  </w:style>
  <w:style w:type="paragraph" w:customStyle="1" w:styleId="abzacixml">
    <w:name w:val="abzaci_xml"/>
    <w:basedOn w:val="PlainText"/>
    <w:uiPriority w:val="99"/>
    <w:pPr>
      <w:ind w:firstLine="283"/>
      <w:jc w:val="both"/>
    </w:pPr>
    <w:rPr>
      <w:rFonts w:ascii="Sylfaen" w:hAnsi="Sylfaen" w:cs="Sylfaen"/>
      <w:sz w:val="22"/>
      <w:szCs w:val="22"/>
    </w:rPr>
  </w:style>
  <w:style w:type="character" w:styleId="PageNumber">
    <w:name w:val="page number"/>
    <w:basedOn w:val="DefaultParagraphFont"/>
    <w:uiPriority w:val="99"/>
  </w:style>
  <w:style w:type="character" w:customStyle="1" w:styleId="CharChar">
    <w:name w:val="Char Cha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1164</Words>
  <Characters>6636</Characters>
  <Application>Microsoft Office Word</Application>
  <DocSecurity>0</DocSecurity>
  <Lines>55</Lines>
  <Paragraphs>15</Paragraphs>
  <ScaleCrop>false</ScaleCrop>
  <Company/>
  <LinksUpToDate>false</LinksUpToDate>
  <CharactersWithSpaces>7785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2022-08-16T16:55:00Z</dcterms:created>
  <dcterms:modified xsi:type="dcterms:W3CDTF">2022-08-16T16:55:00Z</dcterms:modified>
</cp:coreProperties>
</file>