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უფლებათა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კოდექსი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წიგნი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დებულებები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იმპლემენტაციის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შემწყნარებლობის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სულისკვეთებით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სამშობლოს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უჯრედის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ილდღეობისთვის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კონსტიტუციასთან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სადღეღამისო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აძლიერებს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ევენციასა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უმოკლესი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აღსაქმელი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პროპაგანდას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მკვლელობის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გაიაზროს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გაუმკლავდეს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ხელშეუვალია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მოეპყრონ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მისადაგებისა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სტიგმისა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გარიყვისგან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მოუსმინონ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მოუსმინონ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გამომხატველი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იცნობდეს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მიმოწერაში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სამუდამოდ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მართლმსაჯულებაზე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აღსაქმელი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გამომხატველი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მოუსმინონ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მოიძიოს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შემეცნებითი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გაშუქების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მრავალფეროვანი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საბავშვო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დაუთმო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დაისვენოს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ითამაშოს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პლასტიკური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გამოგონებაზე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შემწყნარებლობის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დასჯას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როვნებად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აცნობიერებდეს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ივისცემით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ეპყრობოდეს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აღმზრდელს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სცემდეს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აცნობიერებდეს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აცნობიერებდეს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დაწყებითი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განათლება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აცნობიერებდეს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აღმზრდელობით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აღმზრდელობითი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hAnsi="Sylfaen" w:cs="Sylfaen"/>
          <w:color w:val="171717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განცალკევებაზე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მეყსეული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შეექმნას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შუ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ამდგომლობა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შეფასებაში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უარყოფ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ცალკევებაზე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განცალკევებაზე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დაეთმოს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გამახვილდე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ზრდასრულობაში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არაძალადობრივი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მარტოხელა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სამუდამოდ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უმთავრესი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მიუწვდებოდეს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აღმზრდელთა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მკაფიოდ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გობრებთან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უზუნველყ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დასჯას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სასტიკ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სტიგმისგან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დაუბრკოლებელ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დაირღვეს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დასჯას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სასტიკ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ჩაკეტილ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უზრუნველყოფაზეა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იდგომით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სადღეღამისო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რესურსსკოლებისა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პანსიონებისთვის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ბანაკებში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მეგობრებთან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არქონას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მომვლელის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ამრჯელოს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მომვლელს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ძიძას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დეინსტიტუციონალიზაციის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დეინსტიტუციონალიზაციის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დეინსტიტუციონალიზაციის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ეზიდენტული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ერვისის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ნიჭის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არაძალადობრივი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სამშობლოს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ცივილიზაციის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ურთიერთგაგების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შემწყნარებლობის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მეგობრობის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სულისკვეთებით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კრძალავს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მიესადაგოს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დაინერგოს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შესატყობინებლად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ახალისებდეს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არაკეთილსინდისიერ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აკრძალვა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ბავშვისთვი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ამბულატორიული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მინერალებით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გამდიდრებული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აღმოიფხვრას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მინერალების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დეფიციტი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ძუძუთი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განსავითარებლად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უმოკლესი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მედიკამენტური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თერაპიულ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დამალვისგან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სეგრეგაციისგან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სიყვარულისა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ურთიერთგაგების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ტელექტუალურ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მისადაგებისა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ურბანული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შემეცნებითი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სასკოლო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ავითარებელი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მრავალფეროვანი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უანგაროდ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აფერხებდეს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ჩაგვრისგან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რიტუალის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სასტიკ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გოგონას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სასქესო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მანიპულაციის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მოსაშლელად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კრუნჩხვითი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რიტუალი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საშიშპირობებ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საშიშპირობებიანი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საშიშპირობებიანი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შანტაჟით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მოტყუებით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წაქეზებით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მათხოვრობაზე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ანტისაზოგადოებრივ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ქმედებაზე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დაყოლიება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შანტაჟით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მოტყუებით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წაქეზებით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წაქეზება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დაყოლიება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პროსტიტუციასა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პორნოგრაფიულ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გოგონებისა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მუქარით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მოტაცებით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მოტყუებით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უმწეობის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ზეწოლით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პორნოგრაფიის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არაძალადობრივი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ნვითარებით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არაძალადობრივი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ოგვარებისა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გაშუქებასა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სიღარიბის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თერაპიისა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დამცირებისგან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ტრავმირებისა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ვიქტიმიზაციის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ვიქტიმიზაციის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ნიკოტინის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კლუბში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საცეკვაო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კლუბში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საცეკვაო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კლუბში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საცეკვაო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კინოჩვენებაზე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ფოტოფირი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გამრავლება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იშანდება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საბავშვო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ფრონტალური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მარცხენა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ფოტოფირის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ინტერნეტსალონში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ინტერნეტქსელი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მატარებლებზე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ინტერნეტსალონში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კინოჩვენების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მატარებლებისა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არამოგებიანი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ორგანიზატორი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ჰქონდეს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საევაკუაციო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მძღოლმა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საკვები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ობიე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ქტზე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პასუხისმგებ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ლობის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hAnsi="Sylfaen" w:cs="Sylfaen"/>
          <w:color w:val="171717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მძღოლი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მოძრაობისა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სამართლისა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პასუხისმგებლობების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რადიომაუწყებლების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მართლმსაჯულებაზე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აღსაქმელი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გამომხატველი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ინტერნეტგვერდებისა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სასწრაფო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მგრძნობიარობის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ღარიბი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ეციალისტებს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პედიატრების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ვიქტიმიზაციის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უდანაშაულობის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პრეზუმფციის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აღქმად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სრულწლოვანე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არასრულწლოვანების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მიმართვამდე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მოუსმინონ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გამოსახატავად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მეგობრულ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დიალოგის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დიალოგს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ინტერნეტგვერდებით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წარმომადგენლობაზე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მიექცეს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მოძალადეა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შეურაცხყოფისა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მომვლელის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მომვლელის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მომვლელების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ძიძების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№346)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დასანერგად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171717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კინოჩვენებაზე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მასობრივ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საცეკვაო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კლუბში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დაშვებისა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თრობის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თამბაქოსა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ნიკოტინის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კაფსულის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სასყიდლიანი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დაცვის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(24/7)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ბრამდე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71717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იმპლემენტაციის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სტიტუციონალიზაციის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აღმზრდელობითი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171717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დასანერგად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დასანერგად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№5904)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–98-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88-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98-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1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№5904)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ზურაბიშვილი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№5004 - 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>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A24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244CD"/>
    <w:rsid w:val="00A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libri Light" w:hAnsi="Calibri Light" w:cs="Calibri Light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Pa0">
    <w:name w:val="Pa0"/>
    <w:basedOn w:val="Normal"/>
    <w:next w:val="Normal"/>
    <w:uiPriority w:val="99"/>
    <w:pPr>
      <w:spacing w:after="0" w:line="241" w:lineRule="atLeast"/>
    </w:pPr>
    <w:rPr>
      <w:rFonts w:ascii="Univers 45 Light" w:hAnsi="Univers 45 Light" w:cs="Univers 45 Light"/>
      <w:sz w:val="24"/>
      <w:szCs w:val="24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0" w:line="240" w:lineRule="auto"/>
      <w:ind w:left="100"/>
    </w:pPr>
    <w:rPr>
      <w:rFonts w:ascii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position w:val="5"/>
    </w:rPr>
  </w:style>
  <w:style w:type="character" w:customStyle="1" w:styleId="ListParagraphChar">
    <w:name w:val="List Paragraph Char"/>
    <w:basedOn w:val="DefaultParagraphFont"/>
    <w:uiPriority w:val="99"/>
  </w:style>
  <w:style w:type="paragraph" w:customStyle="1" w:styleId="Default">
    <w:name w:val="Default"/>
    <w:basedOn w:val="Normal0"/>
    <w:uiPriority w:val="99"/>
    <w:pPr>
      <w:widowControl/>
    </w:pPr>
    <w:rPr>
      <w:rFonts w:ascii="Sylfaen" w:hAnsi="Sylfaen" w:cs="Sylfaen"/>
      <w:color w:val="000000"/>
    </w:rPr>
  </w:style>
  <w:style w:type="character" w:customStyle="1" w:styleId="A3">
    <w:name w:val="A3"/>
    <w:basedOn w:val="DefaultParagraphFont"/>
    <w:uiPriority w:val="99"/>
    <w:rPr>
      <w:color w:val="000000"/>
      <w:sz w:val="18"/>
      <w:szCs w:val="18"/>
    </w:rPr>
  </w:style>
  <w:style w:type="paragraph" w:customStyle="1" w:styleId="abzacixml0">
    <w:name w:val="abzaci_xml"/>
    <w:basedOn w:val="Normal0"/>
    <w:next w:val="PlainText"/>
    <w:uiPriority w:val="99"/>
    <w:pPr>
      <w:widowControl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sataurixml0">
    <w:name w:val="satauri_xml"/>
    <w:basedOn w:val="abzacixml0"/>
    <w:uiPriority w:val="99"/>
    <w:pPr>
      <w:spacing w:before="240" w:after="120" w:line="240" w:lineRule="auto"/>
      <w:jc w:val="center"/>
    </w:pPr>
    <w:rPr>
      <w:rFonts w:ascii="Sylfaen" w:hAnsi="Sylfaen" w:cs="Sylfaen"/>
      <w:b/>
      <w:bCs/>
      <w:sz w:val="24"/>
      <w:szCs w:val="24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21045</Words>
  <Characters>119963</Characters>
  <Application>Microsoft Office Word</Application>
  <DocSecurity>0</DocSecurity>
  <Lines>999</Lines>
  <Paragraphs>281</Paragraphs>
  <ScaleCrop>false</ScaleCrop>
  <Company/>
  <LinksUpToDate>false</LinksUpToDate>
  <CharactersWithSpaces>140727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