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ლდარღვევათ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სსრ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</w:t>
      </w:r>
      <w:r>
        <w:rPr>
          <w:rFonts w:ascii="Sylfaen" w:hAnsi="Sylfaen" w:cs="Sylfaen"/>
          <w:sz w:val="24"/>
          <w:szCs w:val="24"/>
          <w:lang w:val="en-US"/>
        </w:rPr>
        <w:t xml:space="preserve">12, 1984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421)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hAnsi="Sylfaen" w:cs="Sylfaen"/>
          <w:sz w:val="24"/>
          <w:szCs w:val="24"/>
          <w:lang w:val="en-US"/>
        </w:rPr>
        <w:t>155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აქსესუარის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2. 155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3. 155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ინგრედიენტების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ინგრედიენტების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ინგრედიენტების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არამეტრის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hAnsi="Sylfaen" w:cs="Sylfaen"/>
          <w:sz w:val="24"/>
          <w:szCs w:val="24"/>
          <w:lang w:val="en-US"/>
        </w:rPr>
        <w:t>171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ვესტიბიული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სადარბაზო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დერეფანი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უჯრედი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სარდაფი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hAnsi="Sylfaen" w:cs="Sylfaen"/>
          <w:sz w:val="24"/>
          <w:szCs w:val="24"/>
          <w:lang w:val="en-US"/>
        </w:rPr>
        <w:t>5.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)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ტაქსისა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აშუალებაში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აღუკვეთელობა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>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-9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5. 172-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გამოიხატება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წვრილმანი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ხულიგნობით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ხულიგნობით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„6. 208-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(16.10.2019 N5131)</w:t>
      </w:r>
    </w:p>
    <w:p w:rsidR="00000000" w:rsidRDefault="008469E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208. </w:t>
      </w:r>
      <w:r>
        <w:rPr>
          <w:rFonts w:ascii="Sylfaen" w:eastAsia="Times New Roman" w:hAnsi="Sylfaen" w:cs="Sylfaen"/>
          <w:lang w:val="en-US"/>
        </w:rPr>
        <w:t>რაიონული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განსჯადი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8469E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რაიონული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</w:t>
      </w:r>
      <w:r>
        <w:rPr>
          <w:rFonts w:ascii="Sylfaen" w:eastAsia="Times New Roman" w:hAnsi="Sylfaen" w:cs="Sylfaen"/>
          <w:lang w:val="en-US"/>
        </w:rPr>
        <w:t>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43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44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44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44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eastAsia="Times New Roman" w:hAnsi="Sylfaen" w:cs="Sylfaen"/>
          <w:lang w:val="en-US"/>
        </w:rPr>
        <w:t>–44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11</w:t>
      </w:r>
      <w:r>
        <w:rPr>
          <w:rFonts w:ascii="Sylfaen" w:hAnsi="Sylfaen" w:cs="Sylfaen"/>
          <w:lang w:val="en-US"/>
        </w:rPr>
        <w:t>, 45-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50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>-60, 60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61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63-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84-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89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91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91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94-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–128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145-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–153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-11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>-20  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-3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eastAsia="Times New Roman" w:hAnsi="Sylfaen" w:cs="Sylfaen"/>
          <w:lang w:val="en-US"/>
        </w:rPr>
        <w:t>–155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–159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163-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165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–165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 xml:space="preserve">6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-8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–172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–173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174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175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>ლებით</w:t>
      </w:r>
      <w:r>
        <w:rPr>
          <w:rFonts w:ascii="Sylfaen" w:eastAsia="Times New Roma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), 178-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–179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180-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181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187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196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197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197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7. 209-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, 86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107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–107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, 107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>, 108-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114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114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eastAsia="x-none"/>
        </w:rPr>
        <w:t>116-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–116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, 118-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–119-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120-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–123-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125-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127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128-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129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131-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134-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hAnsi="Sylfaen" w:cs="Sylfaen"/>
          <w:sz w:val="24"/>
          <w:szCs w:val="24"/>
          <w:lang w:val="ka-GE" w:eastAsia="ka-GE"/>
        </w:rPr>
        <w:t>, 135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139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)), 174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 174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16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</w:t>
      </w:r>
      <w:r>
        <w:rPr>
          <w:rFonts w:ascii="Sylfaen" w:hAnsi="Sylfaen" w:cs="Sylfaen"/>
          <w:sz w:val="24"/>
          <w:szCs w:val="24"/>
          <w:lang w:eastAsia="x-none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182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182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190-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190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191-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171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190-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8. 211-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106-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115-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107-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130-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hAnsi="Sylfaen" w:cs="Sylfaen"/>
          <w:color w:val="FF66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9. 229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bookmarkStart w:id="0" w:name="part_812"/>
      <w:bookmarkEnd w:id="0"/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.“. 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10. 239-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91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91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153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155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155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>, 155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>, 157-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164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, 165-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165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171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46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.“;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)), 171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მარგველაშვ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ილი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№3957-</w:t>
      </w:r>
      <w:r>
        <w:rPr>
          <w:rFonts w:ascii="Sylfaen" w:hAnsi="Sylfaen" w:cs="Sylfaen"/>
          <w:sz w:val="24"/>
          <w:szCs w:val="24"/>
          <w:lang w:val="en-US"/>
        </w:rPr>
        <w:t>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8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469E8"/>
    <w:rsid w:val="0084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2137</Words>
  <Characters>12184</Characters>
  <Application>Microsoft Office Word</Application>
  <DocSecurity>0</DocSecurity>
  <Lines>101</Lines>
  <Paragraphs>28</Paragraphs>
  <ScaleCrop>false</ScaleCrop>
  <Company/>
  <LinksUpToDate>false</LinksUpToDate>
  <CharactersWithSpaces>14293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