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№12, 1984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421)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აირგასამართ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აირსავსებ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).“.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209-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eastAsia="x-none"/>
        </w:rPr>
        <w:t>(23.04.2020 N 5888)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42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10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ka-GE"/>
        </w:rPr>
        <w:t>58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86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108-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127-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135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139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)),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>, 176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177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181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191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3. 239-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(23.04.2020 N 5888)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eastAsia="x-none"/>
        </w:rPr>
        <w:t xml:space="preserve"> 42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10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58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100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107-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114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-2, 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135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139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150-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>, 152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>, 173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>, 174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>, 174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>, 175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176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176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177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>, 180-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–183-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190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191-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166-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.“.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ზურაბიშვილი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№5614-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:rsidR="00000000" w:rsidRDefault="00AF1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1A0A"/>
    <w:rsid w:val="00A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