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სამოქალაქო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კოდექსში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№31, 24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1997,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1)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1. 130-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130.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დაწყება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შეიტყო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შეეტყო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ჩერდება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სრულწლოვანების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2. 183-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183.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შეძენა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შესაძენად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შემძენზე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3. 186-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უხლს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4. 1196-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რომელთანაც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საცხოვრებლად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დარჩა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მიკუთვნების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სიმწიფის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სურვილი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თანხმობაც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5. 1198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ბოროტად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აღზრდასა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არასათანადოდ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ბოროტად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იურისდიქციის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გამოსაყენებელი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ჰააგის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1996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19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კონვენციით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6. 1206-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ჩამორთმევა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უკანასკნელი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ურვეობისა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7. 1209-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სურვილსა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8. 1255-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1255.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გაშვილებაზე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გაშვილებისას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სიმწიფის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სურვილი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გაშვილებაზე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ირკვევა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ცხოვრობდ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მშვილებელს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გამონაკლისის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გაშვილებაზე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ასაყვანის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(21.05.2020 N5913)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N5013-I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:rsidR="00000000" w:rsidRDefault="007D5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D552E"/>
    <w:rsid w:val="007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Base>C:\Users\Codex\Desktop\dato\KAN\BOLO\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