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28/05/2020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300280020.05.001.019857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ხელშემშლელი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დაბრკოლებების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დამფუძნებელ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ამხედველობისა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ჰორიზონტალურ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სექტორთაშორის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სარეაბილიტაციო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მრიცხველით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აეროთერმული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გეოთერმული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ჰიდროთერმული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ოკეანის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ნაგავსაყრელებზე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წყალარინების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გამწმენდ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ბიოგაზი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ეკოლოგიურ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ოკავშირთან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პანევროპული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საწვავის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შინამეურნ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გარდასაქმნელად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ნორმალიზების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რიშებულ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ჯოულით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დიაპაზონის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თანაფარდობა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სტიმულირებ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ფისკალური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უმეტესობას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ჭ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გადამოწმებად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მოიხმარს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რეკუპირებულ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75%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50%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განუცალკევებელ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დასაკმაყოფ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დანახარჯს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შეამცირებს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ერთდროული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0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მილიონ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14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250-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15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ყიდულობს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16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უფლებამოსილებითაა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18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20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ორთქლის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აღრმავებას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ელექტროსადგურების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კომბინირებული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ავტომანქანების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ტუმბოების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ძრავებისა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საქვაბეების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სამაგალითო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გააძლიეროს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შეისყიდონ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ლტერნატიულ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0,7%-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ავალდებულებს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მიაღწიონ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რეწველობაში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ომზადებული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არადისკრიმინაციულად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არადამაკმაყოფილებელი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დაინერგება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ტენდენციის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ზედამხედველობა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საპილოტე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სადემონსტრაციო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შეყვანილი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ენერგოეტიკეტირების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აანალიზებს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პოპულარიზაცია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მობილიზაციით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პოპულარიზაციას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უჩების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ნსპექტორების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სასერტიფიკაციო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ღუმლებისა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მომუშავე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გამაცხელებლების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მაჩვენებელი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საორიენტაციო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საპროგნოზო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ატომური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ნახშირორჟანგის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ჩაჭერისა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)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შემოიფარგლებოდეს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):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პლატფორმა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)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განსათავსებელი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</w:t>
      </w:r>
      <w:r>
        <w:rPr>
          <w:rFonts w:ascii="Sylfaen" w:eastAsia="Times New Roman" w:hAnsi="Sylfaen" w:cs="Sylfaen"/>
          <w:sz w:val="24"/>
          <w:szCs w:val="24"/>
          <w:lang w:val="en-US"/>
        </w:rPr>
        <w:t>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ჰორიზონტალური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სექტორთაშორისი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ხელშემშლელი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საბუღალტრო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ხელშეკრულება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სახელშეკრულებო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ნორმალიზაციისა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განუცალკევებელ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ბრალეულობით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მრავალბინიანი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ბინათმესაკუთრეთა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ამხანაგობის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თმესაკუთრეს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პროგრამები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ენეჯერებისა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მემონტაჟეებისთვის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შესყიდვა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დასამტკიცებლად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ტიპისა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კლიმატური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ფართომასშტაბიანი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მშენებლობის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ძეგლის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საოფისე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საკულტო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ნაგებო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სერტიფიცირება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ექსპერტების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აკრედიტაცია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ჰაერის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კონდიცირების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ინსპექტირება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ჰაერის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კონდიცირების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მრეწ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ველობაში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დანერგვა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მრეწველობაში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უკუგების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სასიცოცხლო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ციკლის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წამახალისებელი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ენერგოაუდიტორები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მრეწველობაში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ევროკავშირის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წამახალისებელი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მრეწველობაში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მრეწველობაში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დამაკმაყოფილებლად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სექტორებში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დაცემისა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სექტორებში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ჩარჩოს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წაახალისებს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დანაკარგების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ტარიფები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მიზანშეწონილ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დანახარჯებს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ოპტიმალური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დანაზოგებს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მეთოდოლოგიების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სადგურებს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წვდომა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ჰიდროელექტროსადგური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ექსპლუატაციაში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საექსპლუატაციო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ჰიდროელექ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ტროსადგური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ჰიდროელექტროსადგურის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იგეგმება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გადაკეთების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იგეგმება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ტემპერატურის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მიერთების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იგეგმება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მგვტ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სიმძლავრის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სამრეწველო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დანადგარებიდან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</w:t>
      </w:r>
      <w:r>
        <w:rPr>
          <w:rFonts w:ascii="Sylfaen" w:eastAsia="Times New Roman" w:hAnsi="Sylfaen" w:cs="Sylfaen"/>
          <w:sz w:val="24"/>
          <w:szCs w:val="24"/>
          <w:lang w:val="en-US"/>
        </w:rPr>
        <w:t>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კოგენერაციის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ნარჩენი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სითბოსგან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აღრიცხვისა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დარიცხვის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მრიცხველების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დაუმონტაჟონ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მრიცხველები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ადვილად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წაკითხვისა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ინტერვალებს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ისტორია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ხანმოკლეა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მრიცხველის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ენერგომომხმარებლის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ცნ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ობიერების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ამაღლება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დაბალპროცენტიანი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არაანაზღაურებადი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დამონტაჟების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ჩაერთონ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ჭკვიანი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დარღვევისთვის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პასუხისმგებლობა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სახდელები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)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განუთავსებლობა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იონირებისთვის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ენერგომენეჯმენტის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დანერგვის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შეუტყობინებლობა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გაფრთხილებიდან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გამანაწილებელი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150 000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დაკისრებისა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0,01%-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გამოუსწორებლობის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დაჯარიმდება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ოცემა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გაზომვისა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ენერგოდანაზოგ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</w:t>
      </w:r>
      <w:r>
        <w:rPr>
          <w:rFonts w:ascii="Sylfaen" w:eastAsia="Times New Roman" w:hAnsi="Sylfaen" w:cs="Sylfaen"/>
          <w:sz w:val="24"/>
          <w:szCs w:val="24"/>
          <w:lang w:val="en-US"/>
        </w:rPr>
        <w:t>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სატრენინგო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ენერგოაუდიტორთა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სერტიფიცირებისა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მონეტარული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ეესგ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რეკონსტრუქციისა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ენერგოეფექტურობის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სამდივნოსთვის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ვადები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შუალედურ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2030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დეკემბრამდე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დაზოგვის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სამიზნე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>2-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-5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,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-5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,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N5898-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სს</w:t>
      </w:r>
    </w:p>
    <w:p w:rsidR="00000000" w:rsidRDefault="008825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8258C"/>
    <w:rsid w:val="0088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10607</Words>
  <Characters>60461</Characters>
  <Application>Microsoft Office Word</Application>
  <DocSecurity>0</DocSecurity>
  <Lines>503</Lines>
  <Paragraphs>141</Paragraphs>
  <ScaleCrop>false</ScaleCrop>
  <Company/>
  <LinksUpToDate>false</LinksUpToDate>
  <CharactersWithSpaces>70927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