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2BAD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14:paraId="7AD05DBE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14:paraId="26A93052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ვაზისა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ღვინის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14:paraId="43AF7BA7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       </w:t>
      </w:r>
    </w:p>
    <w:p w14:paraId="3E27828B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მრავალსაუკუნოვანი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მაღალხარისხოვანი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CC7F646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ru-RU" w:eastAsia="ru-RU"/>
        </w:rPr>
      </w:pPr>
    </w:p>
    <w:p w14:paraId="6E3FA4DB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</w:t>
      </w:r>
    </w:p>
    <w:p w14:paraId="1AA46610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2FEC3B12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დებულებანი</w:t>
      </w:r>
    </w:p>
    <w:p w14:paraId="14A2F16A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4A143B1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52C859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0D418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97ABD0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08A72741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0F99902E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3CE498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1A5151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14:paraId="54AE6FCF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14:paraId="43043ACE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50CC2D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AB59DE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478AD8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აისვაინი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გამოწურვით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A59D1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89143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D8472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2FB66F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ეთილის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მოცულობითი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გამდიდრებამდე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საქაროზას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62768A6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გადამწიფებული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გადამწიფებულ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ბუნებრივი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        </w:t>
      </w:r>
    </w:p>
    <w:p w14:paraId="78A96A1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ვინიფერას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57BCD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მევ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ენახეობის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ქვეზონაში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მიკროზონაში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ფაქტორებით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გილის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F343E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ვინიფერას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ეპუტაციას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81455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4F0D6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C2E61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დაჭყლეტილი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კლერტიანად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უკლერტოდ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02C65E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დეალკოჰოლიზაცია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ვაკუუმში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აორთქლებით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მემბრანული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6780EA33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დეალკოჰოლიზებული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დეალკოჰოლიზაციით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57A58F80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ილუსტრაცია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ამოტვიფრულია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057F0DB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ინტროდუცირებული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3D4A9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დასაფესვიანებლად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საკვირტე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სანამყენე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63766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C1DE2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ვინიფერა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(Vitis vinifera)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ვაზისებრთა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(Vitaceae)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(Vitis)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ევროაზიური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(Vitis vinifera L. Ssp sativa DC)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(Vitis vinifera L. Ssp silvestris (Gmelin) Hegi);</w:t>
      </w:r>
    </w:p>
    <w:p w14:paraId="4A735ED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0B646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კლონური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სახესხვაობები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17C9F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არაკარამელიზებული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დეჰიდრატაციით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58,2%-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ACD17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EBB06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DBE71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3D3E9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დუღილი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97DE0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მაჭარი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დუღილი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2DC04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გასაშენებლად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3763A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მიკროზონებისგან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FF6C60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18A60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მისტელი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A65B7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2,5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10E1C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B1F2B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BA5B5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ნამყენი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სანამყენე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დაფესვიანების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გასაშენებლა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4FA75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FD2D8E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D7967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B3514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აპრობირებული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მაღალხარისხოვანი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42F88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მჟავიანობა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4508B1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კლონური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უვირუსო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სიწმინდისა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სისუფთავისთვის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სელექციონერი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14:paraId="546B4A3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სადესერტო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0BDB2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E25A1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საკუთარფესვიანი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დაფესვიანებით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A689F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083E6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4F7FB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5E3581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სანამყენეთა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ასამრავლებელი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სანამყენე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B71E3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0EA56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“; </w:t>
      </w:r>
    </w:p>
    <w:p w14:paraId="3DEC4BA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ფილოქსერაგამძლე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1EA9A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ფილოქსერაგამძლე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ჰიბრიდული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გასამრავლებელი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5EFB5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DC9DEF" w14:textId="77777777" w:rsidR="00000000" w:rsidRDefault="00BA2E8E">
      <w:pPr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</w:p>
    <w:p w14:paraId="54A39A3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5EFE6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527C8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გამრავლებით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უვირუსო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სიწმინდე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ფთავე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ვირუსებისა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8008F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E5590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shd w:val="clear" w:color="auto" w:fill="FFFFFF"/>
          <w:lang w:val="ka-GE" w:eastAsia="ka-GE"/>
        </w:rPr>
        <w:t>24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95453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8C7F5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არასელექციური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სიწმინდე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FDB67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4EFF1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ქვევრში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9C6D0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ქიშმიში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დეჰიდრატაციით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დაწურვა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;   </w:t>
      </w:r>
    </w:p>
    <w:p w14:paraId="1A1023A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ფრაქციონირებული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3388CA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6C139B2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34050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B2B47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დაწურვით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C3076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00257A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68AAAD7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გამოწნეხილი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გამოუწნეხავი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CD502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ბრენდი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არაყი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მაგარი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14:paraId="3D898CB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E71A9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F33CB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შემჭკნარი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შემჭკნარი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A6C0A1F" w14:textId="77777777" w:rsidR="00000000" w:rsidRDefault="00BA2E8E">
      <w:pPr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№1018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2023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DCD2D7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55FEC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1BFC4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შუშხუნა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ნახშირბადის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დიოქსიდით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გაჯერებული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2,5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A8E29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ნახშირბადის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დიოქსიდით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გაჯერებული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089AD0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ორგანოლეპტიკურ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14:paraId="1C27D1A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A23D4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არაყი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155ED9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გამოწნეხილი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გამოუწნეხავი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ფრაქციონირებული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გამოხდილია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E4A26B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3,5%-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14,5%-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6D37B8D0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0DB9EA84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</w:p>
    <w:p w14:paraId="3066939C" w14:textId="77777777" w:rsidR="00000000" w:rsidRDefault="00BA2E8E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</w:p>
    <w:p w14:paraId="6A39905A" w14:textId="77777777" w:rsidR="00000000" w:rsidRDefault="00BA2E8E">
      <w:pPr>
        <w:rPr>
          <w:rFonts w:ascii="Sylfaen" w:hAnsi="Sylfaen" w:cs="Sylfaen"/>
          <w:lang w:val="ka-GE" w:eastAsia="ka-GE"/>
        </w:rPr>
      </w:pPr>
    </w:p>
    <w:p w14:paraId="3D63ADE1" w14:textId="77777777" w:rsidR="00000000" w:rsidRDefault="00BA2E8E">
      <w:pPr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4125AC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3F30FCBA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07.12.2017. </w:t>
      </w:r>
      <w:r>
        <w:rPr>
          <w:rFonts w:ascii="Sylfaen" w:eastAsia="Times New Roman" w:hAnsi="Sylfaen" w:cs="Sylfaen"/>
          <w:lang w:val="ka-GE" w:eastAsia="ka-GE"/>
        </w:rPr>
        <w:t>№1642)</w:t>
      </w:r>
    </w:p>
    <w:p w14:paraId="555C3825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№1642)</w:t>
      </w:r>
    </w:p>
    <w:p w14:paraId="4DE2D5B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2D5AA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FC2AC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01501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E6B10E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7503E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0238A8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87816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7BB35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9B0A1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1DFAC4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კადასტრის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E15DB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D5E0BF" w14:textId="77777777" w:rsidR="00000000" w:rsidRDefault="00BA2E8E">
      <w:pPr>
        <w:ind w:firstLine="709"/>
        <w:jc w:val="both"/>
        <w:rPr>
          <w:rFonts w:ascii="Sylfaen" w:hAnsi="Sylfaen" w:cs="Sylfaen"/>
          <w:strike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1BC4F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613AA8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75143EEE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24BF32FD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№1642)</w:t>
      </w:r>
    </w:p>
    <w:p w14:paraId="5613D792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241D6B4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2D688FD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№1642)</w:t>
      </w:r>
    </w:p>
    <w:p w14:paraId="3B522455" w14:textId="77777777" w:rsidR="00000000" w:rsidRDefault="00BA2E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48A339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en-US"/>
        </w:rPr>
      </w:pPr>
    </w:p>
    <w:p w14:paraId="52AAB373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14:paraId="79B31246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D0FCEA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D839605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(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15.06.2017. 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C1EFEB4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C1E24C5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B756A3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გენოფონდი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სიმდიდრე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779E5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კონსერვაციას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0310F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AF33B2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E5EFB3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D87F1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89076F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31956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სასუფრე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3CC9C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საქიშმიშე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150CA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ფილოქსერაგამძლე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93B2E5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ჯიშებისა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ჯიშების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ვიტის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ვინიფერას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(Vitis vinifera)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ჯიშებს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C42CC8F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9AE9432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2977FA96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AD51DB6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CE1CB6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D45D54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კახეთი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კახეთი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კახეთი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5B133BD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0BEA778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მესხეთი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F91FA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იმერეთი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იმერეთი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იმერეთი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იმერეთი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3C405C2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1C222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ლეჩხუმი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561D4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AE566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სამეგრელო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369CC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29E1A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C194B6" w14:textId="77777777" w:rsidR="00000000" w:rsidRDefault="00BA2E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ჯიშების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07.12.2017.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1642)</w:t>
      </w:r>
      <w:r>
        <w:rPr>
          <w:rFonts w:ascii="Sylfaen" w:hAnsi="Sylfaen" w:cs="Sylfaen"/>
          <w:lang w:val="ka-GE" w:eastAsia="ka-GE"/>
        </w:rPr>
        <w:t xml:space="preserve"> </w:t>
      </w:r>
    </w:p>
    <w:p w14:paraId="5372DEEF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8DF6856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14:paraId="2DB2B290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</w:p>
    <w:p w14:paraId="3B7919F3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FE55EBD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D703BE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5B5B13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5CE86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4C3AD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7B17C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54B67D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საკუთარფესვიანი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DB47F8" w14:textId="77777777" w:rsidR="00000000" w:rsidRDefault="00BA2E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ნამყენი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ნერგი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F64DD05" w14:textId="77777777" w:rsidR="00000000" w:rsidRDefault="00BA2E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B7FE02F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3C83CF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სანამყენეთა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14:paraId="03D7E464" w14:textId="77777777" w:rsidR="00000000" w:rsidRDefault="00BA2E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საძირეთა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სადედეზე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სანამყენეთა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სადედეზე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1642)</w:t>
      </w:r>
      <w:r>
        <w:rPr>
          <w:rFonts w:ascii="Sylfaen" w:hAnsi="Sylfaen" w:cs="Sylfaen"/>
          <w:lang w:val="ka-GE" w:eastAsia="ka-GE"/>
        </w:rPr>
        <w:t xml:space="preserve">  </w:t>
      </w:r>
    </w:p>
    <w:p w14:paraId="0C619232" w14:textId="77777777" w:rsidR="00000000" w:rsidRDefault="00BA2E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6322EAE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№1642)</w:t>
      </w:r>
    </w:p>
    <w:p w14:paraId="1E358AA0" w14:textId="77777777" w:rsidR="00000000" w:rsidRDefault="00BA2E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713E58F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15A52BA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14:paraId="212470C1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14:paraId="0E066506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65E408B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8DED22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7315B8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91A58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87470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BD2A2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077DCD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F71F49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გასაშენებლად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C0496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8CBB48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ნამყენი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D971E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საკუთარფესვიანი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05F3F3CE" w14:textId="77777777" w:rsidR="00000000" w:rsidRDefault="00BA2E8E">
      <w:pPr>
        <w:ind w:firstLine="709"/>
        <w:jc w:val="both"/>
        <w:rPr>
          <w:rFonts w:ascii="Sylfaen" w:hAnsi="Sylfaen" w:cs="Sylfaen"/>
          <w:strike/>
          <w:color w:val="FF0000"/>
          <w:sz w:val="24"/>
          <w:szCs w:val="24"/>
          <w:lang w:val="ka-GE" w:eastAsia="ka-GE"/>
        </w:rPr>
      </w:pPr>
    </w:p>
    <w:p w14:paraId="7ADCD87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56A052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54AFF7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საკუთარფესვიანი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დაუფესვიანებელი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გასაშენებლად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EF67CD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16E11D8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>.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6AF5460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F44B698" w14:textId="77777777" w:rsidR="00000000" w:rsidRDefault="00BA2E8E">
      <w:pPr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A1DEF9D" w14:textId="77777777" w:rsidR="00000000" w:rsidRDefault="00BA2E8E">
      <w:pPr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</w:p>
    <w:p w14:paraId="397E2065" w14:textId="77777777" w:rsidR="00000000" w:rsidRDefault="00BA2E8E">
      <w:pPr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AD8BA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14:paraId="3AD41C2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649CA4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E10CA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AE87C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 </w:t>
      </w:r>
    </w:p>
    <w:p w14:paraId="459BD0D5" w14:textId="77777777" w:rsidR="00000000" w:rsidRDefault="00BA2E8E">
      <w:pPr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A758A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001511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შუშხუნა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D8FD4D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E40F0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45212A4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სადესერტო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5EC79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31CE79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შემჭკნარი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ED7AF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აისვაინი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938A9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39489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A241AA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დეალკოჰოლიზებული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45BDDFD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0400C3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თეთრი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21C27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ქარვისფერი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E2F492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ვარდისფერი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16D7F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67839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                        </w:t>
      </w:r>
    </w:p>
    <w:p w14:paraId="0830B49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F8CD24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6AF9CD" w14:textId="77777777" w:rsidR="00000000" w:rsidRDefault="00BA2E8E">
      <w:pPr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AFE26C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22A36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2E414E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03351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17A1C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A5DF2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6FAEA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8CB07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5B612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AA384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3D0CD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921D41F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(15.0</w:t>
      </w:r>
      <w:r>
        <w:rPr>
          <w:rFonts w:ascii="Sylfaen" w:hAnsi="Sylfaen" w:cs="Sylfaen"/>
          <w:lang w:val="ka-GE" w:eastAsia="ka-GE"/>
        </w:rPr>
        <w:t xml:space="preserve">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D3581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3E7585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გამოწნეხილი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ლექისგან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ქიშმიშისგან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35410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0D46B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5EE74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ნახშირორჟანგის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ლიქიორში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72DB278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აისვაინის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87F0E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საქაროზას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შუშხუნა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ლიქიორისა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31DB2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სინთეზური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B1766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საღებავი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193F3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მისტელის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მადუღარი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99FD7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9E7136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არომატისა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საღებავი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3A6A056D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ვისებრიობის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105EF42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C92F92" w14:textId="77777777" w:rsidR="00000000" w:rsidRDefault="00BA2E8E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32BEBE" w14:textId="77777777" w:rsidR="00000000" w:rsidRDefault="00BA2E8E">
      <w:pPr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FCC5C88" w14:textId="77777777" w:rsidR="00000000" w:rsidRDefault="00BA2E8E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</w:p>
    <w:p w14:paraId="3E06C19F" w14:textId="77777777" w:rsidR="00000000" w:rsidRDefault="00BA2E8E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3EC00A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659F9D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D2FF3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95540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4C50D6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69FC3E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ორგანოლეპტიკური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2BDB3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86E7D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საზღვრები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6577EDE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ჰექტარ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ვენახზე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მოსავლიანობა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გამოსავლიან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44EF955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ჯიში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ჯიშები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641B25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11640EE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469D409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C4887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B36D3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716465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A253DD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გადახარისხდე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C3834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გადახარისხდეს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9030E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B00BC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C04AD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044F36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A5F7F1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9A8EB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061A64B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3584B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30D81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DEB702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1F9A98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</w:p>
    <w:p w14:paraId="1F7AB561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 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18CFCE4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8CE8893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65A4FC4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B2B5F1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FFAD10A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 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4325B73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AEB3D6A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</w:t>
      </w:r>
      <w:r>
        <w:rPr>
          <w:rFonts w:ascii="Sylfaen" w:eastAsia="Times New Roman" w:hAnsi="Sylfaen" w:cs="Sylfaen"/>
          <w:lang w:val="ka-GE" w:eastAsia="ka-GE"/>
        </w:rPr>
        <w:t>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DA00844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F69DCCF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14:paraId="4B48F5AC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905A6B8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8D9B582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5315462B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</w:t>
      </w:r>
    </w:p>
    <w:p w14:paraId="7231C8E5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</w:p>
    <w:p w14:paraId="7AF4DAE5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</w:t>
      </w:r>
    </w:p>
    <w:p w14:paraId="1E7E7E00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B494BF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BB5FE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E5B900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B0B48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არაყი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0A9F6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91C54C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04AEC1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51303C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56B458DE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FC22C24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 </w:t>
      </w:r>
      <w:r>
        <w:rPr>
          <w:rFonts w:ascii="Sylfaen" w:hAnsi="Sylfaen" w:cs="Sylfaen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372445B5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საბრენდე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მჟავიანობა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93086D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საბრენდე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აქროლადი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მჟავების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B6DEA3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საბრენდე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საბრენდე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88176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(13.12.2018. </w:t>
      </w:r>
      <w:r>
        <w:rPr>
          <w:rFonts w:ascii="Sylfaen" w:eastAsia="Times New Roman" w:hAnsi="Sylfaen" w:cs="Sylfaen"/>
          <w:lang w:val="ka-GE" w:eastAsia="ka-GE"/>
        </w:rPr>
        <w:t xml:space="preserve">№3964) (15.06.2017. N972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F61AB0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756AB716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9FECF70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F68CCA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813CF9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№1018) </w:t>
      </w:r>
    </w:p>
    <w:p w14:paraId="430D0FC6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hAnsi="Sylfaen" w:cs="Sylfaen"/>
          <w:sz w:val="24"/>
          <w:szCs w:val="24"/>
          <w:lang w:val="ka-GE" w:eastAsia="ka-GE"/>
        </w:rPr>
      </w:pPr>
    </w:p>
    <w:p w14:paraId="6722E74F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110AD5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არაყი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გამოწნეხილი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გამოუწნეხავი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D7F007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200033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B4A58E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D400A5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CD93F3C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37,5%-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5BD144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77E9D4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95258D5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26D618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7F03415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</w:p>
    <w:p w14:paraId="150AC98C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ეტიკეტირება</w:t>
      </w:r>
    </w:p>
    <w:p w14:paraId="59E2B103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AD9FE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>16.11.</w:t>
      </w:r>
      <w:r>
        <w:rPr>
          <w:rFonts w:ascii="Sylfaen" w:eastAsia="Times New Roman" w:hAnsi="Sylfaen" w:cs="Sylfaen"/>
          <w:lang w:val="ka-GE" w:eastAsia="ka-GE"/>
        </w:rPr>
        <w:t>2021. №1018)</w:t>
      </w:r>
    </w:p>
    <w:p w14:paraId="67DD06C9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255A35F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D63D7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601098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D726D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FA7CD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9449D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ჩაანაცვლოს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აბრევიატურამ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E212C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F81DD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9C7825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ჩამომსხმელის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ჩამომსხმელი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10BA1D8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0A8D3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სულფიტებს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სულფიტების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მილიგრამს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D86F6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362533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3DCF26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40B26D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მისათითებლად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lang w:val="ka-GE" w:eastAsia="ka-GE"/>
        </w:rPr>
        <w:t>№1018)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</w:p>
    <w:p w14:paraId="1F0A06B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EAFA15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CCABA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85%-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E19F2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A3563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2F348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14:paraId="18FFE47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ბოთლური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EC312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274891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hAnsi="Sylfaen" w:cs="Sylfaen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lang w:val="ka-GE" w:eastAsia="ka-GE"/>
        </w:rPr>
        <w:t xml:space="preserve">№1018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117A58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356D5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თვისებრიობის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B00814" w14:textId="77777777" w:rsidR="00000000" w:rsidRDefault="00BA2E8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32DBEE" w14:textId="77777777" w:rsidR="00000000" w:rsidRDefault="00BA2E8E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112C0C43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61DF0EC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47AB9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698F510B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A24F6E0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1FCE16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31EC3F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hAnsi="Sylfaen" w:cs="Sylfaen"/>
          <w:sz w:val="24"/>
          <w:szCs w:val="24"/>
          <w:lang w:val="ka-GE" w:eastAsia="ka-GE"/>
        </w:rPr>
      </w:pPr>
    </w:p>
    <w:p w14:paraId="484106F3" w14:textId="77777777" w:rsidR="00000000" w:rsidRDefault="00BA2E8E">
      <w:pPr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1B47EDC" w14:textId="77777777" w:rsidR="00000000" w:rsidRDefault="00BA2E8E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</w:p>
    <w:p w14:paraId="0473649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E69DD8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F423FA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90AC35" w14:textId="77777777" w:rsidR="00000000" w:rsidRDefault="00BA2E8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 xml:space="preserve">№1018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682B2C1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B4863F2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2F2E15" w14:textId="77777777" w:rsidR="00000000" w:rsidRDefault="00BA2E8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 xml:space="preserve">№1018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4407961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72152474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№50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302466E9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 xml:space="preserve">№1642)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(16.11.2021. №1018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2023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F8CBA5A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საექსპორტოდ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ორგანოლეპტიკური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სადეგუსტაციო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4D61A5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გოგირდის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დიოქსიდის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ჩამოსხმული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3000-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4BE2B7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9556BA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№1642)</w:t>
      </w:r>
    </w:p>
    <w:p w14:paraId="422D251E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F5BA00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ED847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009E3A" w14:textId="77777777" w:rsidR="00000000" w:rsidRDefault="00BA2E8E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lang w:val="ka-GE" w:eastAsia="ka-GE"/>
        </w:rPr>
        <w:t xml:space="preserve">№1018 </w:t>
      </w:r>
      <w:r>
        <w:rPr>
          <w:rFonts w:ascii="Sylfaen" w:eastAsia="Times New Roman" w:hAnsi="Sylfaen" w:cs="Sylfaen"/>
          <w:lang w:val="ka-GE" w:eastAsia="ka-GE"/>
        </w:rPr>
        <w:t>ამოქმ</w:t>
      </w:r>
      <w:r>
        <w:rPr>
          <w:rFonts w:ascii="Sylfaen" w:eastAsia="Times New Roman" w:hAnsi="Sylfaen" w:cs="Sylfaen"/>
          <w:lang w:val="ka-GE" w:eastAsia="ka-GE"/>
        </w:rPr>
        <w:t>ედდეს</w:t>
      </w:r>
      <w:r>
        <w:rPr>
          <w:rFonts w:ascii="Sylfaen" w:eastAsia="Times New Roman" w:hAnsi="Sylfaen" w:cs="Sylfaen"/>
          <w:lang w:val="ka-GE" w:eastAsia="ka-GE"/>
        </w:rPr>
        <w:t xml:space="preserve">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06C309B7" w14:textId="77777777" w:rsidR="00000000" w:rsidRDefault="00BA2E8E">
      <w:pPr>
        <w:jc w:val="center"/>
        <w:rPr>
          <w:rFonts w:ascii="Sylfaen" w:hAnsi="Sylfaen" w:cs="Sylfaen"/>
          <w:sz w:val="24"/>
          <w:szCs w:val="24"/>
          <w:lang w:val="en-US"/>
        </w:rPr>
      </w:pPr>
    </w:p>
    <w:p w14:paraId="03586183" w14:textId="77777777" w:rsidR="00000000" w:rsidRDefault="00BA2E8E">
      <w:pPr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0A1A29F" w14:textId="77777777" w:rsidR="00000000" w:rsidRDefault="00BA2E8E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</w:p>
    <w:p w14:paraId="03E8AB4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FFF3323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C597A9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C1BC0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56BD44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28A7D569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ოსასხმელი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B2F2B6" w14:textId="77777777" w:rsidR="00000000" w:rsidRDefault="00BA2E8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16.11.2021. </w:t>
      </w:r>
      <w:r>
        <w:rPr>
          <w:rFonts w:ascii="Sylfaen" w:eastAsia="Times New Roman" w:hAnsi="Sylfaen" w:cs="Sylfaen"/>
          <w:lang w:val="ka-GE" w:eastAsia="ka-GE"/>
        </w:rPr>
        <w:t xml:space="preserve">№1018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71161A96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>16.11.</w:t>
      </w:r>
      <w:r>
        <w:rPr>
          <w:rFonts w:ascii="Sylfaen" w:hAnsi="Sylfaen" w:cs="Sylfaen"/>
          <w:lang w:val="ka-GE" w:eastAsia="ka-GE"/>
        </w:rPr>
        <w:t xml:space="preserve">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7806F0F6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№1642)</w:t>
      </w:r>
    </w:p>
    <w:p w14:paraId="3D5712F7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507F6279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1F1A681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E8D87F0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46A503AA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8A65CD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704988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C1BB0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02FCB9E" w14:textId="77777777" w:rsidR="00000000" w:rsidRDefault="00BA2E8E">
      <w:pPr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4A30CFF" w14:textId="77777777" w:rsidR="00000000" w:rsidRDefault="00BA2E8E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</w:p>
    <w:p w14:paraId="3E365DA3" w14:textId="77777777" w:rsidR="00000000" w:rsidRDefault="00BA2E8E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6B2F8FA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B06629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01178B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F0FD6D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№1642)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336EE7A" w14:textId="77777777" w:rsidR="00000000" w:rsidRDefault="00BA2E8E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54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679AC9" w14:textId="77777777" w:rsidR="00000000" w:rsidRDefault="00BA2E8E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A9CA09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5EB8C43D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>(05.06</w:t>
      </w:r>
      <w:r>
        <w:rPr>
          <w:rFonts w:ascii="Sylfaen" w:hAnsi="Sylfaen" w:cs="Sylfaen"/>
          <w:lang w:val="ka-GE" w:eastAsia="ka-GE"/>
        </w:rPr>
        <w:t xml:space="preserve">.2007.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714D337F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9BD7916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15.06.2017. 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34DB14D7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lang w:val="ka-GE" w:eastAsia="ka-GE"/>
        </w:rPr>
        <w:t xml:space="preserve">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3BB396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95C7DC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lang w:val="ka-GE" w:eastAsia="ka-GE"/>
        </w:rPr>
        <w:t xml:space="preserve">16.11.2021.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№1018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მარტიდა</w:t>
      </w:r>
      <w:r>
        <w:rPr>
          <w:rFonts w:ascii="Sylfaen" w:eastAsia="Times New Roman" w:hAnsi="Sylfaen" w:cs="Sylfaen"/>
          <w:b/>
          <w:bCs/>
          <w:lang w:val="ka-GE" w:eastAsia="ka-GE"/>
        </w:rPr>
        <w:t>ნ</w:t>
      </w:r>
      <w:r>
        <w:rPr>
          <w:rFonts w:ascii="Sylfaen" w:hAnsi="Sylfaen" w:cs="Sylfaen"/>
          <w:b/>
          <w:bCs/>
          <w:lang w:val="ka-GE" w:eastAsia="ka-GE"/>
        </w:rPr>
        <w:t>)</w:t>
      </w:r>
    </w:p>
    <w:p w14:paraId="1D21198B" w14:textId="77777777" w:rsidR="00000000" w:rsidRDefault="00BA2E8E">
      <w:pPr>
        <w:tabs>
          <w:tab w:val="left" w:pos="12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DD9C13" w14:textId="77777777" w:rsidR="00000000" w:rsidRDefault="00BA2E8E">
      <w:pPr>
        <w:tabs>
          <w:tab w:val="left" w:pos="12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სამტრესტის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  <w:r>
        <w:rPr>
          <w:rFonts w:ascii="Sylfaen" w:hAnsi="Sylfaen" w:cs="Sylfaen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lang w:val="ka-GE" w:eastAsia="ka-GE"/>
        </w:rPr>
        <w:t xml:space="preserve">№4145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5B94FAE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val="ka-GE" w:eastAsia="ka-GE"/>
        </w:rPr>
        <w:t>№1642)</w:t>
      </w:r>
    </w:p>
    <w:p w14:paraId="1132AAB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CB1207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7F8C8F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4000A6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65AAB5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52C9C1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ქვეზონების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12CF73" w14:textId="77777777" w:rsidR="00000000" w:rsidRDefault="00BA2E8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AD3C8E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F8DBE5" w14:textId="77777777" w:rsidR="00000000" w:rsidRDefault="00BA2E8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56189E88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16.11.2021. </w:t>
      </w:r>
      <w:r>
        <w:rPr>
          <w:rFonts w:ascii="Sylfaen" w:eastAsia="Times New Roman" w:hAnsi="Sylfaen" w:cs="Sylfaen"/>
          <w:lang w:val="ka-GE" w:eastAsia="ka-GE"/>
        </w:rPr>
        <w:t>№1018)</w:t>
      </w:r>
    </w:p>
    <w:p w14:paraId="0986A60B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lang w:val="ka-GE" w:eastAsia="ka-GE"/>
        </w:rPr>
        <w:t>№192)</w:t>
      </w:r>
    </w:p>
    <w:p w14:paraId="0D9CB749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მრეწველობაში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0302357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(24.11.2011. </w:t>
      </w:r>
      <w:r>
        <w:rPr>
          <w:rFonts w:ascii="Sylfaen" w:eastAsia="Times New Roman" w:hAnsi="Sylfaen" w:cs="Sylfaen"/>
          <w:lang w:val="ka-GE" w:eastAsia="ka-GE"/>
        </w:rPr>
        <w:t>№5300)</w:t>
      </w:r>
    </w:p>
    <w:p w14:paraId="61C8A6CE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9B423BF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3ECC3A57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BE70149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15.06.2017. №972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82913A7" w14:textId="77777777" w:rsidR="00000000" w:rsidRDefault="00BA2E8E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E3C81B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8096DE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287B12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en-US"/>
        </w:rPr>
        <w:t xml:space="preserve">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შევარდნაძე</w:t>
      </w:r>
    </w:p>
    <w:p w14:paraId="630632C2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7FD638C7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4D379B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№1438 - 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255B2554" w14:textId="77777777" w:rsidR="00000000" w:rsidRDefault="00BA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2E8E"/>
    <w:rsid w:val="00B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6EF5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20" w:lineRule="atLeast"/>
      <w:jc w:val="center"/>
      <w:outlineLvl w:val="0"/>
    </w:pPr>
    <w:rPr>
      <w:rFonts w:ascii="Geo ABC" w:hAnsi="Geo ABC" w:cs="Geo ABC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spacing w:line="360" w:lineRule="auto"/>
      <w:ind w:left="1260" w:hanging="1260"/>
      <w:jc w:val="both"/>
    </w:pPr>
    <w:rPr>
      <w:rFonts w:ascii="LitNusx" w:hAnsi="LitNusx" w:cs="LitNusx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left="851"/>
      <w:jc w:val="both"/>
    </w:pPr>
    <w:rPr>
      <w:rFonts w:ascii="LitNusx" w:hAnsi="LitNusx" w:cs="LitNusx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rFonts w:ascii="LitNusx" w:hAnsi="LitNusx" w:cs="LitNusx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20" w:lineRule="atLeast"/>
      <w:jc w:val="both"/>
    </w:pPr>
    <w:rPr>
      <w:rFonts w:ascii="SPParliament" w:hAnsi="SPParliament" w:cs="SPParliament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</w:rPr>
  </w:style>
  <w:style w:type="paragraph" w:customStyle="1" w:styleId="sataurixml">
    <w:name w:val="satauri_xml"/>
    <w:basedOn w:val="Normal"/>
    <w:uiPriority w:val="99"/>
    <w:pPr>
      <w:widowControl/>
      <w:spacing w:before="240" w:after="120"/>
      <w:jc w:val="center"/>
    </w:pPr>
    <w:rPr>
      <w:rFonts w:ascii="Sylfae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spacing w:line="276" w:lineRule="auto"/>
      <w:ind w:firstLine="720"/>
      <w:jc w:val="both"/>
    </w:pPr>
    <w:rPr>
      <w:rFonts w:ascii="Sylfaen" w:hAnsi="Sylfaen" w:cs="Sylfaen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99"/>
    <w:pPr>
      <w:widowControl/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1">
    <w:name w:val="Header1"/>
    <w:basedOn w:val="Normal"/>
    <w:next w:val="Heade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Footer1">
    <w:name w:val="Footer1"/>
    <w:basedOn w:val="Normal"/>
    <w:next w:val="Foote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PlainText1">
    <w:name w:val="Plain Text1"/>
    <w:basedOn w:val="Normal"/>
    <w:next w:val="PlainText"/>
    <w:uiPriority w:val="99"/>
    <w:pPr>
      <w:widowControl/>
    </w:pPr>
    <w:rPr>
      <w:rFonts w:ascii="Consolas" w:hAnsi="Consolas" w:cs="Consolas"/>
      <w:sz w:val="21"/>
      <w:szCs w:val="21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widowControl/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BalloonText1">
    <w:name w:val="Balloon Text1"/>
    <w:basedOn w:val="Normal"/>
    <w:next w:val="BalloonText"/>
    <w:uiPriority w:val="99"/>
    <w:pPr>
      <w:widowControl/>
    </w:pPr>
    <w:rPr>
      <w:rFonts w:ascii="Segoe UI" w:hAnsi="Segoe UI" w:cs="Segoe UI"/>
      <w:sz w:val="18"/>
      <w:szCs w:val="18"/>
    </w:rPr>
  </w:style>
  <w:style w:type="paragraph" w:customStyle="1" w:styleId="rmckugfm">
    <w:name w:val="rmckugfm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rmcnxcxs">
    <w:name w:val="rmcnxcxs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muxlixml0">
    <w:name w:val="muxl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tavisataurixml0">
    <w:name w:val="tavisataur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tavixml0">
    <w:name w:val="tavixml"/>
    <w:basedOn w:val="Normal"/>
    <w:uiPriority w:val="99"/>
    <w:pPr>
      <w:widowControl/>
      <w:spacing w:before="100" w:after="100"/>
    </w:pPr>
    <w:rPr>
      <w:sz w:val="24"/>
      <w:szCs w:val="24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  <w:style w:type="character" w:customStyle="1" w:styleId="PlainTextChar1">
    <w:name w:val="Plain Text Char1"/>
    <w:basedOn w:val="DefaultParagraphFont"/>
    <w:uiPriority w:val="99"/>
    <w:rPr>
      <w:rFonts w:ascii="Consolas" w:hAnsi="Consolas" w:cs="Consolas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customStyle="1" w:styleId="highlight2">
    <w:name w:val="highlight2"/>
    <w:basedOn w:val="DefaultParagraphFont"/>
    <w:uiPriority w:val="99"/>
    <w:rPr>
      <w:shd w:val="clear" w:color="auto" w:fill="FFC84F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7980</Words>
  <Characters>45490</Characters>
  <Application>Microsoft Office Word</Application>
  <DocSecurity>0</DocSecurity>
  <Lines>379</Lines>
  <Paragraphs>106</Paragraphs>
  <ScaleCrop>false</ScaleCrop>
  <Company/>
  <LinksUpToDate>false</LinksUpToDate>
  <CharactersWithSpaces>53364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