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დაზღვევის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დეპოზიტების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</w:t>
      </w:r>
      <w:r>
        <w:rPr>
          <w:rFonts w:ascii="Sylfaen" w:eastAsia="Times New Roman" w:hAnsi="Sylfaen" w:cs="Sylfaen"/>
          <w:lang w:eastAsia="x-none"/>
        </w:rPr>
        <w:t>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855)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4.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(24.09.2009.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1679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დაზღვევა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მყარდება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შენატანებით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ფორმირებული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</w:t>
      </w:r>
      <w:r>
        <w:rPr>
          <w:rFonts w:ascii="Sylfaen" w:eastAsia="Times New Roman" w:hAnsi="Sylfaen" w:cs="Sylfaen"/>
          <w:lang w:val="en-US"/>
        </w:rPr>
        <w:t>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დადგომისას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(24.09</w:t>
      </w:r>
      <w:r>
        <w:rPr>
          <w:rFonts w:ascii="Sylfaen" w:hAnsi="Sylfaen" w:cs="Sylfaen"/>
          <w:sz w:val="20"/>
          <w:szCs w:val="20"/>
          <w:lang w:val="en-US"/>
        </w:rPr>
        <w:t xml:space="preserve">.2009.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მზღვეველი</w:t>
      </w:r>
      <w:r>
        <w:rPr>
          <w:rFonts w:ascii="Sylfaen" w:eastAsia="Times New Roman" w:hAnsi="Sylfaen" w:cs="Sylfaen"/>
          <w:lang w:val="en-US"/>
        </w:rPr>
        <w:t xml:space="preserve"> –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color w:val="0D0D0D"/>
          <w:lang w:val="ka-GE" w:eastAsia="ka-GE"/>
        </w:rPr>
        <w:t>გ</w:t>
      </w:r>
      <w:r>
        <w:rPr>
          <w:rFonts w:ascii="Sylfaen" w:eastAsia="Times New Roman" w:hAnsi="Sylfaen" w:cs="Sylfaen"/>
          <w:color w:val="0D0D0D"/>
          <w:lang w:val="ka-GE" w:eastAsia="ka-GE"/>
        </w:rPr>
        <w:t>.</w:t>
      </w:r>
      <w:r>
        <w:rPr>
          <w:rFonts w:ascii="Sylfaen" w:eastAsia="Times New Roman" w:hAnsi="Sylfaen" w:cs="Sylfaen"/>
          <w:color w:val="0D0D0D"/>
          <w:lang w:val="ka-GE" w:eastAsia="ka-GE"/>
        </w:rPr>
        <w:t>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D0D0D"/>
          <w:lang w:val="ka-GE" w:eastAsia="ka-GE"/>
        </w:rPr>
        <w:t>სააქციო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color w:val="0D0D0D"/>
          <w:lang w:val="ka-GE" w:eastAsia="ka-GE"/>
        </w:rPr>
        <w:t>-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ფორმის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პირი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შექმნილია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ამ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წესით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აქვს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>ზღვევის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სახეობის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ლიცენზია</w:t>
      </w:r>
      <w:r>
        <w:rPr>
          <w:rFonts w:ascii="Sylfaen" w:eastAsia="Times New Roman" w:hAnsi="Sylfaen" w:cs="Sylfaen"/>
          <w:color w:val="0D0D0D"/>
          <w:lang w:val="ka-GE" w:eastAsia="ka-GE"/>
        </w:rPr>
        <w:t>;</w:t>
      </w:r>
      <w:r>
        <w:rPr>
          <w:rFonts w:ascii="Sylfaen" w:hAnsi="Sylfaen" w:cs="Sylfaen"/>
          <w:color w:val="0D0D0D"/>
          <w:lang w:eastAsia="x-none"/>
        </w:rPr>
        <w:t xml:space="preserve"> </w:t>
      </w:r>
      <w:r>
        <w:rPr>
          <w:rFonts w:ascii="Sylfaen" w:hAnsi="Sylfaen" w:cs="Sylfaen"/>
          <w:color w:val="0D0D0D"/>
          <w:sz w:val="20"/>
          <w:szCs w:val="20"/>
          <w:lang w:eastAsia="x-non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color w:val="0D0D0D"/>
          <w:sz w:val="20"/>
          <w:szCs w:val="20"/>
          <w:lang w:eastAsia="x-none"/>
        </w:rPr>
        <w:t>4002)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(OECD) </w:t>
      </w:r>
      <w:r>
        <w:rPr>
          <w:rFonts w:ascii="Sylfaen" w:eastAsia="Times New Roman" w:hAnsi="Sylfaen" w:cs="Sylfaen"/>
          <w:lang w:val="en-US"/>
        </w:rPr>
        <w:t>წევრ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</w:t>
      </w:r>
      <w:r>
        <w:rPr>
          <w:rFonts w:ascii="Sylfaen" w:eastAsia="Times New Roman" w:hAnsi="Sylfaen" w:cs="Sylfaen"/>
          <w:lang w:val="en-US"/>
        </w:rPr>
        <w:t>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წარმომადგენლობა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წარმომადგენლობის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რეგისტრაციისათვის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(29.12.2004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940)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დამზღვევი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მზღვეველთან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დაზღვეული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დამზღვევი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აგენტი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  <w:r>
        <w:rPr>
          <w:rFonts w:ascii="Sylfaen" w:hAnsi="Sylfaen" w:cs="Sylfaen"/>
          <w:lang w:val="ka-GE" w:eastAsia="ka-GE"/>
        </w:rPr>
        <w:t xml:space="preserve">          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</w:t>
      </w:r>
      <w:r>
        <w:rPr>
          <w:rFonts w:ascii="Sylfaen" w:eastAsia="Times New Roman" w:hAnsi="Sylfaen" w:cs="Sylfaen"/>
          <w:lang w:eastAsia="x-none"/>
        </w:rPr>
        <w:t>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ნხორციელებ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347B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გადაზღვევის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ადმინისტრირება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>;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     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სადაზღვ</w:t>
      </w:r>
      <w:r>
        <w:rPr>
          <w:rFonts w:ascii="Sylfaen" w:eastAsia="Times New Roman" w:hAnsi="Sylfaen" w:cs="Sylfaen"/>
          <w:lang w:val="ka-GE" w:eastAsia="ka-GE"/>
        </w:rPr>
        <w:t>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>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bookmarkStart w:id="0" w:name="OLE_LINK1"/>
      <w:bookmarkEnd w:id="0"/>
      <w:r>
        <w:rPr>
          <w:rFonts w:ascii="Sylfaen" w:eastAsia="Times New Roman" w:hAnsi="Sylfaen" w:cs="Sylfaen"/>
          <w:lang w:val="ka-GE" w:eastAsia="ka-GE"/>
        </w:rPr>
        <w:t>გადაზღვევა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ოპერაცია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20.06.2001.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961)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პ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0347B9">
      <w:pPr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პროცენტი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პროცენტზე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</w:t>
      </w:r>
      <w:r>
        <w:rPr>
          <w:rFonts w:ascii="Sylfaen" w:eastAsia="Times New Roman" w:hAnsi="Sylfaen" w:cs="Sylfaen"/>
          <w:lang w:val="ka-GE" w:eastAsia="ka-GE"/>
        </w:rPr>
        <w:t>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ადმინისტრატორი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</w:t>
      </w:r>
      <w:r>
        <w:rPr>
          <w:rFonts w:ascii="Sylfaen" w:eastAsia="Times New Roman" w:hAnsi="Sylfaen" w:cs="Sylfaen"/>
          <w:lang w:eastAsia="x-none"/>
        </w:rPr>
        <w:t>ვაში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არაპირდაპირი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N878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0347B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) –  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</w:t>
      </w:r>
      <w:r>
        <w:rPr>
          <w:rFonts w:ascii="Sylfaen" w:eastAsia="Times New Roman" w:hAnsi="Sylfaen" w:cs="Sylfaen"/>
          <w:lang w:val="ka-GE" w:eastAsia="ka-GE"/>
        </w:rPr>
        <w:t>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პაის</w:t>
      </w:r>
      <w:r>
        <w:rPr>
          <w:rFonts w:ascii="Sylfaen" w:eastAsia="Times New Roman" w:hAnsi="Sylfaen" w:cs="Sylfaen"/>
          <w:lang w:val="ka-GE" w:eastAsia="ka-GE"/>
        </w:rPr>
        <w:t xml:space="preserve">) 50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2832)</w:t>
      </w:r>
    </w:p>
    <w:p w:rsidR="00000000" w:rsidRDefault="000347B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2832)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მაგროვ</w:t>
      </w:r>
      <w:r>
        <w:rPr>
          <w:rFonts w:ascii="Sylfaen" w:eastAsia="Times New Roman" w:hAnsi="Sylfaen" w:cs="Sylfaen"/>
          <w:lang w:val="ka-GE" w:eastAsia="ka-GE"/>
        </w:rPr>
        <w:t>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ღ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მომხმარებელი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position w:val="2"/>
          <w:lang w:eastAsia="x-none"/>
        </w:rPr>
        <w:t>ღ</w:t>
      </w:r>
      <w:r>
        <w:rPr>
          <w:rFonts w:ascii="Sylfaen" w:eastAsia="Times New Roman" w:hAnsi="Sylfaen" w:cs="Sylfaen"/>
          <w:position w:val="2"/>
          <w:lang w:eastAsia="x-none"/>
        </w:rPr>
        <w:t>.</w:t>
      </w:r>
      <w:r>
        <w:rPr>
          <w:rFonts w:ascii="Sylfaen" w:eastAsia="Times New Roman" w:hAnsi="Sylfaen" w:cs="Sylfaen"/>
          <w:position w:val="2"/>
          <w:lang w:eastAsia="x-none"/>
        </w:rPr>
        <w:t>ა</w:t>
      </w:r>
      <w:r>
        <w:rPr>
          <w:rFonts w:ascii="Sylfaen" w:eastAsia="Times New Roman" w:hAnsi="Sylfaen" w:cs="Sylfaen"/>
          <w:position w:val="2"/>
          <w:lang w:eastAsia="x-none"/>
        </w:rPr>
        <w:t xml:space="preserve">) </w:t>
      </w:r>
      <w:r>
        <w:rPr>
          <w:rFonts w:ascii="Sylfaen" w:eastAsia="Times New Roman" w:hAnsi="Sylfaen" w:cs="Sylfaen"/>
          <w:position w:val="2"/>
          <w:lang w:eastAsia="x-none"/>
        </w:rPr>
        <w:t>სადაზღვევო</w:t>
      </w:r>
      <w:r>
        <w:rPr>
          <w:rFonts w:ascii="Sylfaen" w:eastAsia="Times New Roman" w:hAnsi="Sylfaen" w:cs="Sylfaen"/>
          <w:position w:val="2"/>
          <w:lang w:eastAsia="x-none"/>
        </w:rPr>
        <w:t xml:space="preserve">  </w:t>
      </w:r>
      <w:r>
        <w:rPr>
          <w:rFonts w:ascii="Sylfaen" w:eastAsia="Times New Roman" w:hAnsi="Sylfaen" w:cs="Sylfaen"/>
          <w:position w:val="2"/>
          <w:lang w:eastAsia="x-none"/>
        </w:rPr>
        <w:t>მომსახურების</w:t>
      </w:r>
      <w:r>
        <w:rPr>
          <w:rFonts w:ascii="Sylfaen" w:eastAsia="Times New Roman" w:hAnsi="Sylfaen" w:cs="Sylfaen"/>
          <w:position w:val="2"/>
          <w:lang w:eastAsia="x-none"/>
        </w:rPr>
        <w:t xml:space="preserve">  </w:t>
      </w:r>
      <w:r>
        <w:rPr>
          <w:rFonts w:ascii="Sylfaen" w:eastAsia="Times New Roman" w:hAnsi="Sylfaen" w:cs="Sylfaen"/>
          <w:position w:val="2"/>
          <w:lang w:eastAsia="x-none"/>
        </w:rPr>
        <w:t>მიღების</w:t>
      </w:r>
      <w:r>
        <w:rPr>
          <w:rFonts w:ascii="Sylfaen" w:eastAsia="Times New Roman" w:hAnsi="Sylfaen" w:cs="Sylfaen"/>
          <w:position w:val="2"/>
          <w:lang w:eastAsia="x-none"/>
        </w:rPr>
        <w:t xml:space="preserve">  </w:t>
      </w:r>
      <w:r>
        <w:rPr>
          <w:rFonts w:ascii="Sylfaen" w:eastAsia="Times New Roman" w:hAnsi="Sylfaen" w:cs="Sylfaen"/>
          <w:position w:val="2"/>
          <w:lang w:eastAsia="x-none"/>
        </w:rPr>
        <w:t>განზრახვის</w:t>
      </w:r>
      <w:r>
        <w:rPr>
          <w:rFonts w:ascii="Sylfaen" w:eastAsia="Times New Roman" w:hAnsi="Sylfaen" w:cs="Sylfaen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position w:val="2"/>
          <w:lang w:eastAsia="x-none"/>
        </w:rPr>
        <w:t>მქონე</w:t>
      </w:r>
      <w:r>
        <w:rPr>
          <w:rFonts w:ascii="Sylfaen" w:eastAsia="Times New Roman" w:hAnsi="Sylfaen" w:cs="Sylfaen"/>
          <w:position w:val="2"/>
          <w:lang w:eastAsia="x-none"/>
        </w:rPr>
        <w:t xml:space="preserve">  </w:t>
      </w:r>
      <w:r>
        <w:rPr>
          <w:rFonts w:ascii="Sylfaen" w:eastAsia="Times New Roman" w:hAnsi="Sylfaen" w:cs="Sylfaen"/>
          <w:position w:val="2"/>
          <w:lang w:eastAsia="x-none"/>
        </w:rPr>
        <w:t>ფიზიკური</w:t>
      </w:r>
      <w:r>
        <w:rPr>
          <w:rFonts w:ascii="Sylfaen" w:eastAsia="Times New Roman" w:hAnsi="Sylfaen" w:cs="Sylfaen"/>
          <w:position w:val="2"/>
          <w:lang w:eastAsia="x-none"/>
        </w:rPr>
        <w:t xml:space="preserve">  </w:t>
      </w:r>
      <w:r>
        <w:rPr>
          <w:rFonts w:ascii="Sylfaen" w:eastAsia="Times New Roman" w:hAnsi="Sylfaen" w:cs="Sylfaen"/>
          <w:position w:val="2"/>
          <w:lang w:eastAsia="x-none"/>
        </w:rPr>
        <w:t>პირი</w:t>
      </w:r>
      <w:r>
        <w:rPr>
          <w:rFonts w:ascii="Sylfae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ან</w:t>
      </w:r>
      <w:r>
        <w:rPr>
          <w:rFonts w:ascii="Sylfaen" w:hAnsi="Sylfaen" w:cs="Sylfaen"/>
          <w:position w:val="2"/>
          <w:lang w:eastAsia="x-none"/>
        </w:rPr>
        <w:t xml:space="preserve"> </w:t>
      </w:r>
      <w:r>
        <w:rPr>
          <w:rFonts w:ascii="Sylfaen" w:eastAsia="Times New Roman" w:hAnsi="Sylfaen" w:cs="Sylfaen"/>
          <w:position w:val="2"/>
          <w:lang w:eastAsia="x-none"/>
        </w:rPr>
        <w:t>დაზღვევის</w:t>
      </w:r>
      <w:r>
        <w:rPr>
          <w:rFonts w:ascii="Sylfae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ღ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</w:t>
      </w:r>
      <w:r>
        <w:rPr>
          <w:rFonts w:ascii="Sylfaen" w:eastAsia="Times New Roman" w:hAnsi="Sylfaen" w:cs="Sylfaen"/>
          <w:lang w:eastAsia="x-none"/>
        </w:rPr>
        <w:t>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</w:t>
      </w:r>
      <w:r>
        <w:rPr>
          <w:rFonts w:ascii="Sylfaen" w:eastAsia="Times New Roman" w:hAnsi="Sylfaen" w:cs="Sylfaen"/>
          <w:lang w:val="ka-GE" w:eastAsia="ka-GE"/>
        </w:rPr>
        <w:t>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შრომისუნარიანობასთან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</w:t>
      </w:r>
      <w:r>
        <w:rPr>
          <w:rFonts w:ascii="Sylfaen" w:eastAsia="Times New Roman" w:hAnsi="Sylfaen" w:cs="Sylfaen"/>
          <w:lang w:val="ka-GE" w:eastAsia="ka-GE"/>
        </w:rPr>
        <w:t>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(30.10.1998.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1672)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აუარესებს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უცხოელ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(30.10.1998.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1672).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</w:t>
      </w:r>
      <w:r>
        <w:rPr>
          <w:rFonts w:ascii="Sylfaen" w:eastAsia="Times New Roman" w:hAnsi="Sylfaen" w:cs="Sylfaen"/>
          <w:lang w:val="ka-GE" w:eastAsia="ka-GE"/>
        </w:rPr>
        <w:t>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940)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მოპასუხედ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940)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</w:t>
      </w:r>
      <w:r>
        <w:rPr>
          <w:rFonts w:ascii="Sylfaen" w:eastAsia="Times New Roman" w:hAnsi="Sylfaen" w:cs="Sylfaen"/>
          <w:lang w:val="ka-GE" w:eastAsia="ka-GE"/>
        </w:rPr>
        <w:t>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გადამზღვეველთან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36"/>
          <w:szCs w:val="36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(24.09.20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დაზღვევის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მონაწილენი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</w:t>
      </w:r>
      <w:r>
        <w:rPr>
          <w:rFonts w:ascii="Sylfaen" w:eastAsia="Times New Roman" w:hAnsi="Sylfaen" w:cs="Sylfaen"/>
          <w:lang w:val="ka-GE" w:eastAsia="ka-GE"/>
        </w:rPr>
        <w:t>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</w:t>
      </w:r>
      <w:r>
        <w:rPr>
          <w:rFonts w:ascii="Sylfaen" w:eastAsia="Times New Roman" w:hAnsi="Sylfaen" w:cs="Sylfaen"/>
          <w:lang w:val="ka-GE" w:eastAsia="ka-GE"/>
        </w:rPr>
        <w:t>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ind w:firstLine="709"/>
        <w:jc w:val="both"/>
        <w:rPr>
          <w:rFonts w:ascii="Sylfaen" w:hAnsi="Sylfaen" w:cs="Sylfaen"/>
          <w:color w:val="0D0D0D"/>
          <w:lang w:val="ka-GE" w:eastAsia="ka-GE"/>
        </w:rPr>
      </w:pPr>
      <w:r>
        <w:rPr>
          <w:rFonts w:ascii="Sylfaen" w:hAnsi="Sylfaen" w:cs="Sylfaen"/>
          <w:color w:val="0D0D0D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D0D0D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color w:val="0D0D0D"/>
          <w:lang w:val="ka-GE" w:eastAsia="ka-GE"/>
        </w:rPr>
        <w:t>-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ფორმად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სააქციო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D0D0D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ეკრძალება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დაფუძნება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დამფუძნებლად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ყოფნა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. 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>4002)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ორგანიზაციებზე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დაზღვევის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-9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მოთხოვნა</w:t>
      </w:r>
      <w:r>
        <w:rPr>
          <w:rFonts w:ascii="Sylfaen" w:eastAsia="Times New Roman" w:hAnsi="Sylfaen" w:cs="Sylfaen"/>
          <w:b/>
          <w:bCs/>
          <w:color w:val="0D0D0D"/>
          <w:sz w:val="20"/>
          <w:szCs w:val="20"/>
          <w:lang w:val="ka-GE" w:eastAsia="ka-GE"/>
        </w:rPr>
        <w:t>.)</w:t>
      </w:r>
    </w:p>
    <w:p w:rsidR="00000000" w:rsidRDefault="000347B9">
      <w:pPr>
        <w:pStyle w:val="Normal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სიტყვათწყობას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სახელწოდებაში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სიტყვათწყობა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კონტექსტიდან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სიტყვათწყობა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      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უპირატესობების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მზღვეველების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მზღვეველების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6149)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6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იხელმძღვანელოს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გულისხმიერების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წინდახედულობის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  <w:t>6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D0D0D"/>
          <w:lang w:val="ka-GE" w:eastAsia="ka-GE"/>
        </w:rPr>
        <w:t xml:space="preserve">     </w:t>
      </w:r>
      <w:r>
        <w:rPr>
          <w:rFonts w:ascii="Sylfaen" w:hAnsi="Sylfaen" w:cs="Sylfaen"/>
          <w:color w:val="0D0D0D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color w:val="0D0D0D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მართვა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მისი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მიერ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ნორმატივების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D0D0D"/>
          <w:lang w:val="ka-GE" w:eastAsia="ka-GE"/>
        </w:rPr>
        <w:t>თუ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არ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ამა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თუ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იმ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მიერ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წესი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მზღვეველი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იმოქმედოს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ნორმებისა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პრაქტიკის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D0D0D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>4002)</w:t>
      </w:r>
      <w:r>
        <w:rPr>
          <w:rFonts w:ascii="Sylfaen" w:hAnsi="Sylfaen" w:cs="Sylfaen"/>
          <w:lang w:val="ka-GE" w:eastAsia="ka-GE"/>
        </w:rPr>
        <w:t xml:space="preserve">                   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</w:t>
      </w:r>
      <w:r>
        <w:rPr>
          <w:rFonts w:ascii="Sylfaen" w:eastAsia="Times New Roman" w:hAnsi="Sylfaen" w:cs="Sylfaen"/>
          <w:lang w:val="ka-GE" w:eastAsia="ka-GE"/>
        </w:rPr>
        <w:t>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4461)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9.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</w:t>
      </w:r>
      <w:r>
        <w:rPr>
          <w:rFonts w:ascii="Sylfaen" w:eastAsia="Times New Roman" w:hAnsi="Sylfaen" w:cs="Sylfaen"/>
          <w:lang w:val="ka-GE" w:eastAsia="ka-GE"/>
        </w:rPr>
        <w:t>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4461)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347B9">
      <w:pPr>
        <w:pStyle w:val="abzacixml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კვარტალში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აქტუალურობიდან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6.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გაიმიჯნოს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დირექტორთაგან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</w:t>
      </w:r>
      <w:r>
        <w:rPr>
          <w:rFonts w:ascii="Sylfaen" w:eastAsia="Times New Roman" w:hAnsi="Sylfaen" w:cs="Sylfaen"/>
          <w:lang w:val="ka-GE" w:eastAsia="ka-GE"/>
        </w:rPr>
        <w:t>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თანამშრომლად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</w:t>
      </w:r>
      <w:r>
        <w:rPr>
          <w:rFonts w:ascii="Sylfaen" w:eastAsia="Times New Roman" w:hAnsi="Sylfaen" w:cs="Sylfaen"/>
          <w:lang w:val="ka-GE" w:eastAsia="ka-GE"/>
        </w:rPr>
        <w:t>იისთვის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</w:t>
      </w:r>
      <w:r>
        <w:rPr>
          <w:rFonts w:ascii="Sylfaen" w:eastAsia="Times New Roman" w:hAnsi="Sylfaen" w:cs="Sylfaen"/>
          <w:lang w:val="ka-GE" w:eastAsia="ka-GE"/>
        </w:rPr>
        <w:t>ვიდრეა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აკავშირებს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დიპლომი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თანამშრომლად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</w:t>
      </w:r>
      <w:r>
        <w:rPr>
          <w:rFonts w:ascii="Sylfaen" w:eastAsia="Times New Roman" w:hAnsi="Sylfaen" w:cs="Sylfaen"/>
          <w:lang w:val="ka-GE" w:eastAsia="ka-GE"/>
        </w:rPr>
        <w:t>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t>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კვარტალური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გეგმურ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კვარტალური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არაგეგმურ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არაგეგმური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არაგეგმური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უმოკლეს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შემოწმე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არაგეგმურ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ფაილებზე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</w:t>
      </w:r>
      <w:r>
        <w:rPr>
          <w:rFonts w:ascii="Sylfaen" w:eastAsia="Times New Roman" w:hAnsi="Sylfaen" w:cs="Sylfaen"/>
          <w:lang w:val="ka-GE" w:eastAsia="ka-GE"/>
        </w:rPr>
        <w:t>რხებლად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ავალდებულებდეს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დააზღვიოს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დააზღვიოს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</w:t>
      </w:r>
      <w:r>
        <w:rPr>
          <w:rFonts w:ascii="Sylfaen" w:eastAsia="Times New Roman" w:hAnsi="Sylfaen" w:cs="Sylfaen"/>
          <w:lang w:val="ka-GE" w:eastAsia="ka-GE"/>
        </w:rPr>
        <w:t>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</w:t>
      </w:r>
      <w:r>
        <w:rPr>
          <w:rFonts w:ascii="Sylfaen" w:eastAsia="Times New Roman" w:hAnsi="Sylfaen" w:cs="Sylfaen"/>
          <w:lang w:val="ka-GE" w:eastAsia="ka-GE"/>
        </w:rPr>
        <w:t>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ეკუთვნის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ხელშერულებით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დაზღ</w:t>
      </w:r>
      <w:r>
        <w:rPr>
          <w:rFonts w:ascii="Sylfaen" w:eastAsia="Times New Roman" w:hAnsi="Sylfaen" w:cs="Sylfaen"/>
          <w:lang w:val="ka-GE" w:eastAsia="ka-GE"/>
        </w:rPr>
        <w:t>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მოსარგ</w:t>
      </w:r>
      <w:r>
        <w:rPr>
          <w:rFonts w:ascii="Sylfaen" w:eastAsia="Times New Roman" w:hAnsi="Sylfaen" w:cs="Sylfaen"/>
          <w:lang w:val="ka-GE" w:eastAsia="ka-GE"/>
        </w:rPr>
        <w:t>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პოლისი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.) </w:t>
      </w:r>
      <w:r>
        <w:rPr>
          <w:rFonts w:ascii="Sylfaen" w:eastAsia="Times New Roman" w:hAnsi="Sylfaen" w:cs="Sylfaen"/>
          <w:lang w:val="ka-GE" w:eastAsia="ka-GE"/>
        </w:rPr>
        <w:t>წარმდგენზე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eastAsia="Times New Roman" w:hAnsi="Sylfaen" w:cs="Sylfaen"/>
          <w:lang w:eastAsia="x-none"/>
        </w:rPr>
        <w:t>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თანამშრომელი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შესრულებაში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დარე</w:t>
      </w:r>
      <w:r>
        <w:rPr>
          <w:rFonts w:ascii="Sylfaen" w:eastAsia="Times New Roman" w:hAnsi="Sylfaen" w:cs="Sylfaen"/>
          <w:lang w:eastAsia="x-none"/>
        </w:rPr>
        <w:t>გულირება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eastAsia="x-none"/>
        </w:rPr>
        <w:t>ექსპერტ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სიტყვათწყობას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სიტყვათწყობა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სიტყვათწყობის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კონტექსტიდან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სიტყვები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სიტყვათწყობა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იკვეთება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</w:t>
      </w:r>
      <w:r>
        <w:rPr>
          <w:rFonts w:ascii="Sylfaen" w:eastAsia="Times New Roman" w:hAnsi="Sylfaen" w:cs="Sylfaen"/>
          <w:lang w:eastAsia="x-none"/>
        </w:rPr>
        <w:t>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ამსახური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ელიც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მაცნეში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0347B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6.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სარეგისტრაციო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შესაფერისობის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</w:t>
      </w:r>
      <w:r>
        <w:rPr>
          <w:rFonts w:ascii="Sylfaen" w:eastAsia="Times New Roman" w:hAnsi="Sylfaen" w:cs="Sylfaen"/>
          <w:lang w:eastAsia="x-none"/>
        </w:rPr>
        <w:t>ერიუმებთან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შესაბამისობას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მზღვეველთან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დამზღვევთან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გადამზღვეველ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</w:t>
      </w:r>
      <w:r>
        <w:rPr>
          <w:rFonts w:ascii="Sylfaen" w:eastAsia="Times New Roman" w:hAnsi="Sylfaen" w:cs="Sylfaen"/>
          <w:lang w:eastAsia="x-none"/>
        </w:rPr>
        <w:t>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hAnsi="Sylfaen" w:cs="Sylfaen"/>
          <w:lang w:eastAsia="x-non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დაზღვეულის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მოსარგებლის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</w:t>
      </w:r>
      <w:r>
        <w:rPr>
          <w:rFonts w:ascii="Sylfaen" w:eastAsia="Times New Roman" w:hAnsi="Sylfaen" w:cs="Sylfaen"/>
          <w:lang w:val="ka-GE" w:eastAsia="ka-GE"/>
        </w:rPr>
        <w:t>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>აა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</w:t>
      </w:r>
      <w:r>
        <w:rPr>
          <w:rFonts w:ascii="Sylfaen" w:eastAsia="Times New Roman" w:hAnsi="Sylfaen" w:cs="Sylfaen"/>
          <w:lang w:eastAsia="x-none"/>
        </w:rPr>
        <w:t>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eastAsia="x-none"/>
        </w:rPr>
        <w:t>: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საკონტაქტო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დასაზღვევ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დარეგულირების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val="ka-GE" w:eastAsia="ka-GE"/>
        </w:rPr>
        <w:t>ომხმარებელ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შუამავლობის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გასამრჯელოს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თანამშრომლობს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t>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</w:t>
      </w:r>
      <w:r>
        <w:rPr>
          <w:rFonts w:ascii="Sylfaen" w:eastAsia="Times New Roman" w:hAnsi="Sylfaen" w:cs="Sylfaen"/>
          <w:lang w:val="ka-GE" w:eastAsia="ka-GE"/>
        </w:rPr>
        <w:t>დოს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ხანგრძლივად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მომავალში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დაურღვევლად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წოდ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შესრულებით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eastAsia="x-none"/>
        </w:rPr>
        <w:t>მზღვეველის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სადაზღვევო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ბროკერის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ფინანსური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სიმყარის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03.09.2019. 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lang w:val="ka-GE" w:eastAsia="ka-GE"/>
        </w:rPr>
      </w:pPr>
      <w:r>
        <w:rPr>
          <w:rFonts w:ascii="Sylfaen" w:hAnsi="Sylfaen" w:cs="Sylfaen"/>
          <w:b/>
          <w:bCs/>
          <w:sz w:val="36"/>
          <w:szCs w:val="36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სიმყარის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სიმყარის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pStyle w:val="abzacixml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5384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abzacixml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pStyle w:val="abzacixml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pStyle w:val="abzacixml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სიდიდეზე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5384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</w:t>
      </w:r>
      <w:r>
        <w:rPr>
          <w:rFonts w:ascii="Sylfaen" w:eastAsia="Times New Roman" w:hAnsi="Sylfaen" w:cs="Sylfaen"/>
          <w:lang w:val="ka-GE" w:eastAsia="ka-GE"/>
        </w:rPr>
        <w:t>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3.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მზღვეველს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5003)</w:t>
      </w:r>
    </w:p>
    <w:p w:rsidR="00000000" w:rsidRDefault="000347B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7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7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7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ახდისუნარიანობის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კაპიტალსა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</w:t>
      </w:r>
      <w:r>
        <w:rPr>
          <w:rFonts w:ascii="Sylfaen" w:eastAsia="Times New Roman" w:hAnsi="Sylfaen" w:cs="Sylfaen"/>
          <w:lang w:val="ka-GE" w:eastAsia="ka-GE"/>
        </w:rPr>
        <w:t>არდობა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5384)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D0D0D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D0D0D"/>
          <w:lang w:val="ka-GE" w:eastAsia="ka-GE"/>
        </w:rPr>
        <w:t>მზღვეველი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ყოველი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წლის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მომდევნო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წლის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15 </w:t>
      </w:r>
      <w:r>
        <w:rPr>
          <w:rFonts w:ascii="Sylfaen" w:eastAsia="Times New Roman" w:hAnsi="Sylfaen" w:cs="Sylfaen"/>
          <w:color w:val="0D0D0D"/>
          <w:lang w:val="ka-GE" w:eastAsia="ka-GE"/>
        </w:rPr>
        <w:t>აპრილამდე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სამსახურს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გასული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წლის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მომზადდა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აღრიცხვის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მიერ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D0D0D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“ (IFRS) </w:t>
      </w:r>
      <w:r>
        <w:rPr>
          <w:rFonts w:ascii="Sylfaen" w:eastAsia="Times New Roman" w:hAnsi="Sylfaen" w:cs="Sylfaen"/>
          <w:color w:val="0D0D0D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აუდიტიც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სტ</w:t>
      </w:r>
      <w:r>
        <w:rPr>
          <w:rFonts w:ascii="Sylfaen" w:eastAsia="Times New Roman" w:hAnsi="Sylfaen" w:cs="Sylfaen"/>
          <w:color w:val="0D0D0D"/>
          <w:lang w:val="ka-GE" w:eastAsia="ka-GE"/>
        </w:rPr>
        <w:t>ანდარტების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მიერ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D0D0D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“ (ISA) </w:t>
      </w:r>
      <w:r>
        <w:rPr>
          <w:rFonts w:ascii="Sylfaen" w:eastAsia="Times New Roman" w:hAnsi="Sylfaen" w:cs="Sylfaen"/>
          <w:color w:val="0D0D0D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D0D0D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დასკვნის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მზღვეველი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ასევე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ცალკე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გასული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წლის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მომზადდა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აღრიცხვის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მიერ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D0D0D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“ (IFRS) </w:t>
      </w:r>
      <w:r>
        <w:rPr>
          <w:rFonts w:ascii="Sylfaen" w:eastAsia="Times New Roman" w:hAnsi="Sylfaen" w:cs="Sylfaen"/>
          <w:color w:val="0D0D0D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აუდიტიც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</w:t>
      </w:r>
      <w:r>
        <w:rPr>
          <w:rFonts w:ascii="Sylfaen" w:eastAsia="Times New Roman" w:hAnsi="Sylfaen" w:cs="Sylfaen"/>
          <w:color w:val="0D0D0D"/>
          <w:lang w:val="ka-GE" w:eastAsia="ka-GE"/>
        </w:rPr>
        <w:t>აერთაშორისო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მიერ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D0D0D"/>
          <w:lang w:val="ka-GE" w:eastAsia="ka-GE"/>
        </w:rPr>
        <w:t>აუდიტის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“ (ISA) </w:t>
      </w:r>
      <w:r>
        <w:rPr>
          <w:rFonts w:ascii="Sylfaen" w:eastAsia="Times New Roman" w:hAnsi="Sylfaen" w:cs="Sylfaen"/>
          <w:color w:val="0D0D0D"/>
          <w:lang w:val="ka-GE" w:eastAsia="ka-GE"/>
        </w:rPr>
        <w:t>დაცვით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. 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>4002)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lang w:val="ka-GE" w:eastAsia="ka-GE"/>
        </w:rPr>
      </w:pPr>
      <w:r>
        <w:rPr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ჰოლდინგური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ab/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ფორმითა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გარეაუდიტორული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გამოაქვეყნოს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აქციების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პროცენტის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პროცენტზე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ბენეფიციარი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აღებუ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</w:t>
      </w:r>
      <w:r>
        <w:rPr>
          <w:rFonts w:ascii="Sylfaen" w:eastAsia="Times New Roman" w:hAnsi="Sylfaen" w:cs="Sylfaen"/>
          <w:lang w:val="ka-GE" w:eastAsia="ka-GE"/>
        </w:rPr>
        <w:t>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მეთოდიკასა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მზღვეველმა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დივერსიფიკაციის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დაბრუნებადობის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16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სიმყარის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სიმყარის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სადაზღვ</w:t>
      </w:r>
      <w:r>
        <w:rPr>
          <w:rFonts w:ascii="Sylfaen" w:eastAsia="Times New Roman" w:hAnsi="Sylfaen" w:cs="Sylfaen"/>
          <w:lang w:eastAsia="x-none"/>
        </w:rPr>
        <w:t>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ტაპზე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უწყვეტად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eastAsia="x-none"/>
        </w:rPr>
        <w:t>წლიანი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პერიოდულობით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ანგარიშებზე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ფლობდეს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ლიმიტები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აკუმულირებული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>.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>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აპრილამდე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აუდიტირებული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სადაზღვევო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ზედამხედველობის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b/>
          <w:bCs/>
          <w:sz w:val="36"/>
          <w:szCs w:val="36"/>
          <w:lang w:val="ka-GE" w:eastAsia="ka-GE"/>
        </w:rPr>
      </w:pP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</w:p>
    <w:p w:rsidR="00000000" w:rsidRDefault="000347B9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347B9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0347B9">
      <w:pPr>
        <w:pStyle w:val="BodyTex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საკონსულტაციო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სამეთვალყურეო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წევრისგან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ანსო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თავმჯდომარე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დევნილთა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ექსპერტი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არასამთავრობო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სექტორიდან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№3061)</w:t>
      </w:r>
    </w:p>
    <w:p w:rsidR="00000000" w:rsidRDefault="000347B9">
      <w:pPr>
        <w:pStyle w:val="BodyTex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2993)</w:t>
      </w:r>
    </w:p>
    <w:p w:rsidR="00000000" w:rsidRDefault="000347B9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color w:val="0B0B0B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მთავრ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color w:val="0B0B0B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2993)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№2993)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347B9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მაგროვებადი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წლიურად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პრემიის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მაგროვებადი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</w:t>
      </w:r>
      <w:r>
        <w:rPr>
          <w:rFonts w:ascii="Sylfaen" w:eastAsia="Times New Roman" w:hAnsi="Sylfaen" w:cs="Sylfaen"/>
          <w:lang w:val="ka-GE" w:eastAsia="ka-GE"/>
        </w:rPr>
        <w:t>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იანვრისა</w:t>
      </w:r>
      <w:r>
        <w:rPr>
          <w:rFonts w:ascii="Sylfaen" w:eastAsia="Times New Roman" w:hAnsi="Sylfaen" w:cs="Sylfaen"/>
          <w:lang w:val="ka-GE" w:eastAsia="ka-GE"/>
        </w:rPr>
        <w:t xml:space="preserve"> – 25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აპრილისა</w:t>
      </w:r>
      <w:r>
        <w:rPr>
          <w:rFonts w:ascii="Sylfaen" w:eastAsia="Times New Roman" w:hAnsi="Sylfaen" w:cs="Sylfaen"/>
          <w:lang w:val="ka-GE" w:eastAsia="ka-GE"/>
        </w:rPr>
        <w:t xml:space="preserve"> – 25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ივლისისა</w:t>
      </w:r>
      <w:r>
        <w:rPr>
          <w:rFonts w:ascii="Sylfaen" w:eastAsia="Times New Roman" w:hAnsi="Sylfaen" w:cs="Sylfaen"/>
          <w:lang w:val="ka-GE" w:eastAsia="ka-GE"/>
        </w:rPr>
        <w:t xml:space="preserve"> – 25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არაუგვიან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lang w:val="ka-GE" w:eastAsia="ka-GE"/>
        </w:rPr>
        <w:t xml:space="preserve"> – 25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გრანტები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ქველმოქმედებიდან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განავითაროს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დამზღვევისა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</w:t>
      </w:r>
      <w:r>
        <w:rPr>
          <w:rFonts w:ascii="Sylfaen" w:eastAsia="Times New Roman" w:hAnsi="Sylfaen" w:cs="Sylfaen"/>
          <w:lang w:val="ka-GE" w:eastAsia="ka-GE"/>
        </w:rPr>
        <w:t>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ქმედობაუნარიანობისა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განზოგადებას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</w:t>
      </w:r>
      <w:r>
        <w:rPr>
          <w:rFonts w:ascii="Sylfaen" w:eastAsia="Times New Roman" w:hAnsi="Sylfaen" w:cs="Sylfaen"/>
          <w:lang w:val="ka-GE" w:eastAsia="ka-GE"/>
        </w:rPr>
        <w:t>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ინიცი</w:t>
      </w:r>
      <w:r>
        <w:rPr>
          <w:rFonts w:ascii="Sylfaen" w:eastAsia="Times New Roman" w:hAnsi="Sylfaen" w:cs="Sylfaen"/>
          <w:lang w:val="en-US"/>
        </w:rPr>
        <w:t>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N6994)</w:t>
      </w:r>
    </w:p>
    <w:p w:rsidR="00000000" w:rsidRDefault="000347B9">
      <w:pPr>
        <w:ind w:firstLine="70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მომხმარებლ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მზღვეველი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დაზღვევი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წინასახელშეკრულებო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ეტაპზე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მზღვეველი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მომხმარებელთა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>(23.06.2022 N1687)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გაუწიოს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დააწესოს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(23.06.2022 N1687)</w:t>
      </w:r>
    </w:p>
    <w:p w:rsidR="00000000" w:rsidRDefault="000347B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მომხმარებლის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მომხმარებლების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</w:t>
      </w:r>
      <w:r>
        <w:rPr>
          <w:rFonts w:ascii="Sylfaen" w:eastAsia="Times New Roman" w:hAnsi="Sylfaen" w:cs="Sylfaen"/>
          <w:lang w:eastAsia="x-none"/>
        </w:rPr>
        <w:t>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მიაწოდო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lang w:eastAsia="x-non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მომხმარებელ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ქვს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eastAsia="x-none"/>
        </w:rPr>
        <w:t>სრულე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მომხმარებელ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ქვს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eastAsia="x-none"/>
        </w:rPr>
        <w:t>სრულებ</w:t>
      </w:r>
      <w:r>
        <w:rPr>
          <w:rFonts w:ascii="Sylfaen" w:eastAsia="Times New Roman" w:hAnsi="Sylfaen" w:cs="Sylfaen"/>
          <w:lang w:val="ka-GE" w:eastAsia="ka-GE"/>
        </w:rPr>
        <w:t>ლობ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  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lang w:val="ka-GE" w:eastAsia="ka-GE"/>
        </w:rPr>
      </w:pPr>
    </w:p>
    <w:p w:rsidR="00000000" w:rsidRDefault="000347B9">
      <w:pPr>
        <w:ind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ბუღალტრული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ადმინისტრატორის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</w:t>
      </w:r>
      <w:r>
        <w:rPr>
          <w:rFonts w:ascii="Sylfaen" w:eastAsia="Times New Roman" w:hAnsi="Sylfaen" w:cs="Sylfaen"/>
          <w:lang w:eastAsia="x-none"/>
        </w:rPr>
        <w:t>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სანქციები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</w:t>
      </w:r>
      <w:r>
        <w:rPr>
          <w:rFonts w:ascii="Sylfaen" w:eastAsia="Times New Roman" w:hAnsi="Sylfaen" w:cs="Sylfaen"/>
          <w:lang w:val="ka-GE" w:eastAsia="ka-GE"/>
        </w:rPr>
        <w:t>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გაანგარიშებისათვის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5384)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</w:t>
      </w:r>
      <w:r>
        <w:rPr>
          <w:rFonts w:ascii="Sylfaen" w:eastAsia="Times New Roman" w:hAnsi="Sylfaen" w:cs="Sylfaen"/>
          <w:lang w:val="ka-GE" w:eastAsia="ka-GE"/>
        </w:rPr>
        <w:t>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eastAsia="x-none"/>
        </w:rPr>
        <w:t>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eastAsia="x-none"/>
        </w:rPr>
        <w:t>ხორციელებ</w:t>
      </w:r>
      <w:r>
        <w:rPr>
          <w:rFonts w:ascii="Sylfaen" w:eastAsia="Times New Roman" w:hAnsi="Sylfaen" w:cs="Sylfaen"/>
          <w:lang w:val="ka-GE" w:eastAsia="ka-GE"/>
        </w:rPr>
        <w:t>ლად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</w:t>
      </w:r>
      <w:r>
        <w:rPr>
          <w:rFonts w:ascii="Sylfaen" w:eastAsia="Times New Roman" w:hAnsi="Sylfaen" w:cs="Sylfaen"/>
          <w:lang w:val="ka-GE" w:eastAsia="ka-GE"/>
        </w:rPr>
        <w:t>თრეების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სტატისტიკური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</w:t>
      </w:r>
      <w:r>
        <w:rPr>
          <w:rFonts w:ascii="Sylfaen" w:eastAsia="Times New Roman" w:hAnsi="Sylfaen" w:cs="Sylfaen"/>
          <w:lang w:val="ka-GE" w:eastAsia="ka-GE"/>
        </w:rPr>
        <w:t>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მემორანდუმის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საშუამავლო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ადმინისტრატო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შესაფერისობის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საშუამავლო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საგარანტიო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</w:t>
      </w:r>
      <w:r>
        <w:rPr>
          <w:rFonts w:ascii="Sylfaen" w:eastAsia="Times New Roman" w:hAnsi="Sylfaen" w:cs="Sylfaen"/>
          <w:lang w:eastAsia="x-none"/>
        </w:rPr>
        <w:t>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ღ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განიხილოს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მზღვეველის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გულისხმიერებისა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წინდახედულობის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დარღვ</w:t>
      </w:r>
      <w:r>
        <w:rPr>
          <w:rFonts w:ascii="Sylfaen" w:eastAsia="Times New Roman" w:hAnsi="Sylfaen" w:cs="Sylfaen"/>
          <w:lang w:val="ka-GE" w:eastAsia="ka-GE"/>
        </w:rPr>
        <w:t>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ადმინისტრატორმა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(04.10.2013.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№1469)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№5231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   </w:t>
      </w:r>
      <w:r>
        <w:rPr>
          <w:rFonts w:ascii="Sylfaen" w:eastAsia="Times New Roman" w:hAnsi="Sylfaen" w:cs="Sylfaen"/>
          <w:lang w:val="en-US"/>
        </w:rPr>
        <w:t>დაარღვია</w:t>
      </w:r>
      <w:r>
        <w:rPr>
          <w:rFonts w:ascii="Sylfaen" w:eastAsia="Times New Roman" w:hAnsi="Sylfaen" w:cs="Sylfaen"/>
          <w:lang w:val="en-US"/>
        </w:rPr>
        <w:t xml:space="preserve">    „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 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(23.06.2022 N1687)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თანამიმდევრულად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არათანამიმდევრულად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347B9">
      <w:pPr>
        <w:ind w:firstLine="73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3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</w:t>
      </w:r>
      <w:r>
        <w:rPr>
          <w:rFonts w:ascii="Sylfaen" w:eastAsia="Times New Roman" w:hAnsi="Sylfaen" w:cs="Sylfaen"/>
          <w:lang w:val="ka-GE" w:eastAsia="ka-GE"/>
        </w:rPr>
        <w:t>საფხვრელად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</w:t>
      </w:r>
      <w:r>
        <w:rPr>
          <w:rFonts w:ascii="Sylfaen" w:eastAsia="Times New Roman" w:hAnsi="Sylfaen" w:cs="Sylfaen"/>
          <w:lang w:val="ka-GE" w:eastAsia="ka-GE"/>
        </w:rPr>
        <w:t>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დივიდენდებისა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ადმინისტრატორმა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ინსტრუქცია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ანგარიშგების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>სწორი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(23.06.2022 N1687)</w:t>
      </w:r>
    </w:p>
    <w:p w:rsidR="00000000" w:rsidRDefault="000347B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2</w:t>
      </w:r>
      <w:r>
        <w:rPr>
          <w:rFonts w:ascii="Sylfaen" w:hAnsi="Sylfaen" w:cs="Sylfaen"/>
          <w:position w:val="12"/>
          <w:lang w:eastAsia="x-none"/>
        </w:rPr>
        <w:t xml:space="preserve">1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მიმდევრულად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სერიოზულობიდან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არათან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მიმდევრულად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სანქციები</w:t>
      </w:r>
      <w:r>
        <w:rPr>
          <w:rFonts w:ascii="Sylfaen" w:eastAsia="Times New Roman" w:hAnsi="Sylfaen" w:cs="Sylfaen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4939)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დააწესოს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</w:t>
      </w:r>
      <w:r>
        <w:rPr>
          <w:rFonts w:ascii="Sylfaen" w:eastAsia="Times New Roman" w:hAnsi="Sylfaen" w:cs="Sylfaen"/>
          <w:lang w:eastAsia="x-none"/>
        </w:rPr>
        <w:t>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eastAsia="x-none"/>
        </w:rPr>
        <w:t>დაზღვევ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ბროკერმა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ღა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აღმოსაფხვრელად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t>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მზღვეველისათვის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(04.10.2013.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№1469)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0347B9">
      <w:pPr>
        <w:spacing w:line="20" w:lineRule="atLeast"/>
        <w:ind w:firstLine="70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D0D0D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D0D0D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ლიცენზია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გაიცეს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სააქციო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color w:val="0D0D0D"/>
          <w:lang w:val="ka-GE" w:eastAsia="ka-GE"/>
        </w:rPr>
        <w:t>-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ფორმის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პირზე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. 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>4002)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</w:p>
    <w:p w:rsidR="00000000" w:rsidRDefault="000347B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347B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0347B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გადაზღვევა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347B9">
      <w:pPr>
        <w:pStyle w:val="abzacixml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ავტობიოგრაფია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5384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დაარეგისტრიროს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7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5003)</w:t>
      </w:r>
    </w:p>
    <w:p w:rsidR="00000000" w:rsidRDefault="000347B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</w:t>
      </w:r>
      <w:r>
        <w:rPr>
          <w:rFonts w:ascii="Sylfaen" w:eastAsia="Times New Roman" w:hAnsi="Sylfaen" w:cs="Sylfaen"/>
          <w:lang w:val="ka-GE" w:eastAsia="ka-GE"/>
        </w:rPr>
        <w:t>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ლიცენზირებას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).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</w:t>
      </w:r>
      <w:r>
        <w:rPr>
          <w:rFonts w:ascii="Sylfaen" w:eastAsia="Times New Roman" w:hAnsi="Sylfaen" w:cs="Sylfaen"/>
          <w:lang w:val="ka-GE" w:eastAsia="ka-GE"/>
        </w:rPr>
        <w:t>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</w:t>
      </w:r>
      <w:r>
        <w:rPr>
          <w:rFonts w:ascii="Sylfaen" w:eastAsia="Times New Roman" w:hAnsi="Sylfaen" w:cs="Sylfaen"/>
          <w:lang w:val="ka-GE" w:eastAsia="ka-GE"/>
        </w:rPr>
        <w:t>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</w:t>
      </w:r>
      <w:r>
        <w:rPr>
          <w:rFonts w:ascii="Sylfaen" w:eastAsia="Times New Roman" w:hAnsi="Sylfaen" w:cs="Sylfaen"/>
          <w:lang w:val="ka-GE" w:eastAsia="ka-GE"/>
        </w:rPr>
        <w:t>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უკრძალავს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უკრძალავს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უკრძალავს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გადამზღვეველ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გადამზღვეველ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გადამზღვევე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გადამზღვეველ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გადამზღვეველ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უკრძალავს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ნათესაური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5271)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მოსაკრებელ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abzacixml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5271)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5271 )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სადაზ</w:t>
      </w:r>
      <w:r>
        <w:rPr>
          <w:rFonts w:ascii="Sylfaen" w:eastAsia="Times New Roman" w:hAnsi="Sylfaen" w:cs="Sylfaen"/>
          <w:lang w:val="ka-GE" w:eastAsia="ka-GE"/>
        </w:rPr>
        <w:t>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</w:t>
      </w:r>
      <w:r>
        <w:rPr>
          <w:rFonts w:ascii="Sylfaen" w:eastAsia="Times New Roman" w:hAnsi="Sylfaen" w:cs="Sylfaen"/>
          <w:lang w:val="ka-GE" w:eastAsia="ka-GE"/>
        </w:rPr>
        <w:t>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არაჯანსაღ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დაზღვეულებს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უმოკლეს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გადამზღვეველ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</w:t>
      </w:r>
      <w:r>
        <w:rPr>
          <w:rFonts w:ascii="Sylfaen" w:eastAsia="Times New Roman" w:hAnsi="Sylfaen" w:cs="Sylfaen"/>
          <w:lang w:val="ka-GE" w:eastAsia="ka-GE"/>
        </w:rPr>
        <w:t>ვეველს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მზღვევე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მიერთების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ძველი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(08.06.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abzacixml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pStyle w:val="abzacixml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0347B9">
      <w:pPr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რეორგანიზაციისას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0347B9">
      <w:pPr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5384)</w:t>
      </w:r>
    </w:p>
    <w:p w:rsidR="00000000" w:rsidRDefault="000347B9">
      <w:pPr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ეუბნება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347B9">
      <w:pPr>
        <w:ind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</w:t>
      </w:r>
      <w:r>
        <w:rPr>
          <w:rFonts w:ascii="Sylfaen" w:eastAsia="Times New Roman" w:hAnsi="Sylfaen" w:cs="Sylfaen"/>
          <w:lang w:val="ka-GE" w:eastAsia="ka-GE"/>
        </w:rPr>
        <w:t>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№5231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მზღვეველმა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</w:t>
      </w:r>
      <w:r>
        <w:rPr>
          <w:rFonts w:ascii="Sylfaen" w:eastAsia="Times New Roman" w:hAnsi="Sylfaen" w:cs="Sylfaen"/>
          <w:lang w:val="ka-GE" w:eastAsia="ka-GE"/>
        </w:rPr>
        <w:t>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(FATF)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FATF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FATF-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FATF-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347B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FATF-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კრძალავს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D0D0D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სამსახუ</w:t>
      </w:r>
      <w:r>
        <w:rPr>
          <w:rFonts w:ascii="Sylfaen" w:eastAsia="Times New Roman" w:hAnsi="Sylfaen" w:cs="Sylfaen"/>
          <w:color w:val="0D0D0D"/>
          <w:lang w:val="ka-GE" w:eastAsia="ka-GE"/>
        </w:rPr>
        <w:t>რის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მიერ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საიდუმლოებების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დაცვა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color w:val="0D0D0D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color w:val="0D0D0D"/>
          <w:sz w:val="20"/>
          <w:szCs w:val="20"/>
          <w:lang w:val="ka-GE" w:eastAsia="ka-GE"/>
        </w:rPr>
        <w:t xml:space="preserve"> 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>4002)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დამზღვევს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დაზღვეულს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მოსარგებლეს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>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4461)</w:t>
      </w:r>
    </w:p>
    <w:p w:rsidR="00000000" w:rsidRDefault="000347B9">
      <w:pPr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</w:t>
      </w:r>
      <w:r>
        <w:rPr>
          <w:rFonts w:ascii="Sylfaen" w:eastAsia="Times New Roman" w:hAnsi="Sylfaen" w:cs="Sylfaen"/>
          <w:lang w:val="ka-GE" w:eastAsia="ka-GE"/>
        </w:rPr>
        <w:t>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4461)</w:t>
      </w:r>
    </w:p>
    <w:p w:rsidR="00000000" w:rsidRDefault="000347B9">
      <w:pPr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გასცეს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გახდა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მიმდინარე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უკავია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</w:t>
      </w:r>
      <w:r>
        <w:rPr>
          <w:rFonts w:ascii="Sylfaen" w:eastAsia="Times New Roman" w:hAnsi="Sylfaen" w:cs="Sylfaen"/>
          <w:color w:val="000000"/>
          <w:lang w:val="ka-GE" w:eastAsia="ka-GE"/>
        </w:rPr>
        <w:t>ვნათა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D0D0D"/>
          <w:lang w:val="ka-GE" w:eastAsia="ka-GE"/>
        </w:rPr>
      </w:pPr>
      <w:r>
        <w:rPr>
          <w:rFonts w:ascii="Sylfaen" w:hAnsi="Sylfaen" w:cs="Sylfaen"/>
          <w:color w:val="0D0D0D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D0D0D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კონფიდენციალურად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მიჩნევის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მისი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ნუსხის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წესს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უფროსი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. 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>4002)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5271 )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 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ძალადაკარგულია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(26.06.1997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№786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32-54-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მზღვეველის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იძულები</w:t>
      </w:r>
      <w:r>
        <w:rPr>
          <w:rFonts w:ascii="Sylfaen" w:eastAsia="Times New Roman" w:hAnsi="Sylfaen" w:cs="Sylfaen"/>
          <w:b/>
          <w:bCs/>
          <w:lang w:val="ka-GE" w:eastAsia="ka-GE"/>
        </w:rPr>
        <w:t>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ლიკვიდაცია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გაკოტრების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</w:t>
      </w:r>
      <w:r>
        <w:rPr>
          <w:rFonts w:ascii="Sylfaen" w:eastAsia="Times New Roman" w:hAnsi="Sylfaen" w:cs="Sylfaen"/>
          <w:lang w:val="en-US"/>
        </w:rPr>
        <w:t>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საგრძნობლად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</w:t>
      </w:r>
      <w:r>
        <w:rPr>
          <w:rFonts w:ascii="Sylfaen" w:eastAsia="Times New Roman" w:hAnsi="Sylfaen" w:cs="Sylfaen"/>
          <w:lang w:val="en-US"/>
        </w:rPr>
        <w:t>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მაცნეში</w:t>
      </w:r>
      <w:r>
        <w:rPr>
          <w:rFonts w:ascii="Sylfaen" w:eastAsia="Times New Roman" w:hAnsi="Sylfaen" w:cs="Sylfaen"/>
          <w:lang w:val="en-US"/>
        </w:rPr>
        <w:t xml:space="preserve">“.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დროებითმა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ადმინისტრატორმა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შეატყობინოს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საგადახდო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მზ</w:t>
      </w:r>
      <w:r>
        <w:rPr>
          <w:rFonts w:ascii="Sylfaen" w:eastAsia="Times New Roman" w:hAnsi="Sylfaen" w:cs="Sylfaen"/>
          <w:lang w:val="ka-GE" w:eastAsia="ka-GE"/>
        </w:rPr>
        <w:t>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მზღვევე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D0D0D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D0D0D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დროე</w:t>
      </w:r>
      <w:r>
        <w:rPr>
          <w:rFonts w:ascii="Sylfaen" w:eastAsia="Times New Roman" w:hAnsi="Sylfaen" w:cs="Sylfaen"/>
          <w:color w:val="0D0D0D"/>
          <w:lang w:val="ka-GE" w:eastAsia="ka-GE"/>
        </w:rPr>
        <w:t>ბით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ადმინისტრატორზე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გადადის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ყველა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მმართველი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სრული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იგი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წესით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. 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D0D0D"/>
          <w:sz w:val="20"/>
          <w:szCs w:val="20"/>
          <w:lang w:val="ka-GE" w:eastAsia="ka-GE"/>
        </w:rPr>
        <w:t>4002)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უმოკლეს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დაზღვეულ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11.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</w:t>
      </w:r>
      <w:r>
        <w:rPr>
          <w:rFonts w:ascii="Sylfaen" w:eastAsia="Times New Roman" w:hAnsi="Sylfaen" w:cs="Sylfaen"/>
          <w:lang w:val="ka-GE" w:eastAsia="ka-GE"/>
        </w:rPr>
        <w:t>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პორტფელის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მზღვეველისათვის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ადმინისტრატორისათვის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შესაფერისობის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ლიკვიდატორად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დანიშვნა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ჩერდება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(20.12.20</w:t>
      </w:r>
      <w:r>
        <w:rPr>
          <w:rFonts w:ascii="Sylfaen" w:hAnsi="Sylfaen" w:cs="Sylfaen"/>
          <w:sz w:val="20"/>
          <w:szCs w:val="20"/>
          <w:lang w:val="en-US"/>
        </w:rPr>
        <w:t xml:space="preserve">19 N5675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პოლისებზე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ლიკვიდატორს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მოიჯარისა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მეიჯარეს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დაირიცხა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გაასხვისოს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პორტფელი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მზღვეველზე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პრივილეგიით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ლიკვიდატორმა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</w:t>
      </w:r>
      <w:r>
        <w:rPr>
          <w:rFonts w:ascii="Sylfaen" w:eastAsia="Times New Roman" w:hAnsi="Sylfaen" w:cs="Sylfaen"/>
          <w:lang w:val="ka-GE" w:eastAsia="ka-GE"/>
        </w:rPr>
        <w:t>ტილება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7.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მოუკითხავი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მოუკითხავ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დაზღვეულის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მოსარგებლი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ლიკვიდაციისა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დაიფარება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</w:t>
      </w:r>
      <w:r>
        <w:rPr>
          <w:rFonts w:ascii="Sylfaen" w:eastAsia="Times New Roman" w:hAnsi="Sylfaen" w:cs="Sylfaen"/>
          <w:lang w:val="ka-GE" w:eastAsia="ka-GE"/>
        </w:rPr>
        <w:t>ლებები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</w:t>
      </w:r>
      <w:r>
        <w:rPr>
          <w:rFonts w:ascii="Sylfaen" w:eastAsia="Times New Roman" w:hAnsi="Sylfaen" w:cs="Sylfaen"/>
          <w:lang w:val="ka-GE" w:eastAsia="ka-GE"/>
        </w:rPr>
        <w:t>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კრედიტორებისადმი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პოლისებზე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გაასხვისოს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</w:t>
      </w:r>
      <w:r>
        <w:rPr>
          <w:rFonts w:ascii="Sylfaen" w:eastAsia="Times New Roman" w:hAnsi="Sylfaen" w:cs="Sylfaen"/>
          <w:lang w:val="ka-GE" w:eastAsia="ka-GE"/>
        </w:rPr>
        <w:t>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პორტფელი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დაფაროს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გაკოტრების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მოგირავნეს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უპირატესი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თანამიმდევრობით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დაკმაყოფილდეს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გაკოტრების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მმართველის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დანიშვნასთან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წარმოეშვა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რიგი</w:t>
      </w:r>
      <w:r>
        <w:rPr>
          <w:rFonts w:ascii="Sylfaen" w:eastAsia="Times New Roman" w:hAnsi="Sylfaen" w:cs="Sylfaen"/>
          <w:lang w:val="en-US"/>
        </w:rPr>
        <w:t xml:space="preserve">  –  </w:t>
      </w:r>
      <w:r>
        <w:rPr>
          <w:rFonts w:ascii="Sylfaen" w:eastAsia="Times New Roman" w:hAnsi="Sylfaen" w:cs="Sylfaen"/>
          <w:lang w:val="en-US"/>
        </w:rPr>
        <w:t>კრედიტორთა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</w:t>
      </w:r>
      <w:r>
        <w:rPr>
          <w:rFonts w:ascii="Sylfaen" w:eastAsia="Times New Roman" w:hAnsi="Sylfaen" w:cs="Sylfaen"/>
          <w:lang w:val="en-US"/>
        </w:rPr>
        <w:t>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საპენსიო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ვალდებულებათა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მაგროვებადი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სახეობებისათვის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მეოთხე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რიგი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კრედიტორთა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მოთ</w:t>
      </w:r>
      <w:r>
        <w:rPr>
          <w:rFonts w:ascii="Sylfaen" w:eastAsia="Times New Roman" w:hAnsi="Sylfaen" w:cs="Sylfaen"/>
          <w:lang w:val="en-US"/>
        </w:rPr>
        <w:t>ხოვნები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უბედური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მეხუთე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ხელშეკრულებიდან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მეექვსე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</w:t>
      </w:r>
      <w:r>
        <w:rPr>
          <w:rFonts w:ascii="Sylfaen" w:eastAsia="Times New Roman" w:hAnsi="Sylfaen" w:cs="Sylfaen"/>
          <w:lang w:val="en-US"/>
        </w:rPr>
        <w:t>რავნობით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მეშვიდე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დანარჩენი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დაგვიანებით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ვადადამდგარი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დაიფაროს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იფარება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(04.10.2013.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№1469)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11. </w:t>
      </w:r>
      <w:r>
        <w:rPr>
          <w:rFonts w:ascii="Sylfaen" w:eastAsia="Times New Roman" w:hAnsi="Sylfaen" w:cs="Sylfaen"/>
          <w:lang w:val="ka-GE" w:eastAsia="ka-GE"/>
        </w:rPr>
        <w:t>ყო</w:t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</w:t>
      </w:r>
      <w:r>
        <w:rPr>
          <w:rFonts w:ascii="Sylfaen" w:eastAsia="Times New Roman" w:hAnsi="Sylfaen" w:cs="Sylfaen"/>
          <w:lang w:val="ka-GE" w:eastAsia="ka-GE"/>
        </w:rPr>
        <w:t>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მოუკითხავ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ურთიერთგაქვითვა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347B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ურთიერთგაქვითვას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</w:t>
      </w:r>
      <w:r>
        <w:rPr>
          <w:rFonts w:ascii="Sylfaen" w:eastAsia="Times New Roman" w:hAnsi="Sylfaen" w:cs="Sylfaen"/>
          <w:lang w:val="en-US"/>
        </w:rPr>
        <w:t>თიერთგაქვითვას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სადავოდ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საზედამხედველო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მეურვე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გაკოტრების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რეაბილიტაციის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მზღვეველის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</w:t>
      </w:r>
      <w:r>
        <w:rPr>
          <w:rFonts w:ascii="Sylfaen" w:eastAsia="Times New Roman" w:hAnsi="Sylfaen" w:cs="Sylfaen"/>
          <w:lang w:val="en-US"/>
        </w:rPr>
        <w:t>ტრატორი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, 1964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., N 36,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662) 193-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195-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ოცდამეთორმეტე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მგზავრთა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კაბინეტის</w:t>
      </w:r>
      <w:r>
        <w:rPr>
          <w:rFonts w:ascii="Sylfaen" w:eastAsia="Times New Roman" w:hAnsi="Sylfaen" w:cs="Sylfaen"/>
          <w:lang w:val="ka-GE" w:eastAsia="ka-GE"/>
        </w:rPr>
        <w:t xml:space="preserve"> 1993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N 747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ბიუჯეტზე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კაბინეტის</w:t>
      </w:r>
      <w:r>
        <w:rPr>
          <w:rFonts w:ascii="Sylfaen" w:eastAsia="Times New Roman" w:hAnsi="Sylfaen" w:cs="Sylfaen"/>
          <w:lang w:val="ka-GE" w:eastAsia="ka-GE"/>
        </w:rPr>
        <w:t xml:space="preserve"> 1993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N 941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გაერთიანებებისა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კაბინეტის</w:t>
      </w:r>
      <w:r>
        <w:rPr>
          <w:rFonts w:ascii="Sylfaen" w:eastAsia="Times New Roman" w:hAnsi="Sylfaen" w:cs="Sylfaen"/>
          <w:lang w:val="ka-GE" w:eastAsia="ka-GE"/>
        </w:rPr>
        <w:t xml:space="preserve"> 1994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N 154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</w:t>
      </w:r>
      <w:r>
        <w:rPr>
          <w:rFonts w:ascii="Sylfaen" w:eastAsia="Times New Roman" w:hAnsi="Sylfaen" w:cs="Sylfaen"/>
          <w:lang w:val="ka-GE" w:eastAsia="ka-GE"/>
        </w:rPr>
        <w:t>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კაბინეტის</w:t>
      </w:r>
      <w:r>
        <w:rPr>
          <w:rFonts w:ascii="Sylfaen" w:eastAsia="Times New Roman" w:hAnsi="Sylfaen" w:cs="Sylfaen"/>
          <w:lang w:val="ka-GE" w:eastAsia="ka-GE"/>
        </w:rPr>
        <w:t xml:space="preserve"> 1995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26 </w:t>
      </w:r>
      <w:r>
        <w:rPr>
          <w:rFonts w:ascii="Sylfaen" w:eastAsia="Times New Roman" w:hAnsi="Sylfaen" w:cs="Sylfaen"/>
          <w:lang w:val="ka-GE" w:eastAsia="ka-GE"/>
        </w:rPr>
        <w:t>აგვისტოს</w:t>
      </w:r>
      <w:r>
        <w:rPr>
          <w:rFonts w:ascii="Sylfaen" w:eastAsia="Times New Roman" w:hAnsi="Sylfaen" w:cs="Sylfaen"/>
          <w:lang w:val="ka-GE" w:eastAsia="ka-GE"/>
        </w:rPr>
        <w:t xml:space="preserve"> N 523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გასასვლელი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კაბინეტის</w:t>
      </w:r>
      <w:r>
        <w:rPr>
          <w:rFonts w:ascii="Sylfaen" w:eastAsia="Times New Roman" w:hAnsi="Sylfaen" w:cs="Sylfaen"/>
          <w:lang w:val="ka-GE" w:eastAsia="ka-GE"/>
        </w:rPr>
        <w:t xml:space="preserve"> 1994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აგვისტოს</w:t>
      </w:r>
      <w:r>
        <w:rPr>
          <w:rFonts w:ascii="Sylfaen" w:eastAsia="Times New Roman" w:hAnsi="Sylfaen" w:cs="Sylfaen"/>
          <w:lang w:val="ka-GE" w:eastAsia="ka-GE"/>
        </w:rPr>
        <w:t xml:space="preserve"> N 512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</w:t>
      </w: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1997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მაისი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347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690 - II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34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347B9">
      <w:pPr>
        <w:rPr>
          <w:lang w:val="ka-GE" w:eastAsia="ka-GE"/>
        </w:rPr>
      </w:pPr>
    </w:p>
    <w:p w:rsidR="00000000" w:rsidRDefault="000347B9">
      <w:pPr>
        <w:rPr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2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6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52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88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24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60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96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32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6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9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43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32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36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9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43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46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252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396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468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5040" w:hanging="720"/>
      </w:pPr>
      <w:rPr>
        <w:rFonts w:ascii="Times New Roman" w:hAnsi="Times New Roman" w:cs="Times New Roman"/>
        <w:b/>
        <w:bCs/>
        <w:i/>
        <w:iCs/>
        <w:strike w:val="0"/>
        <w:color w:val="auto"/>
        <w:u w:val="none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25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28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32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36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396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468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504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5400" w:hanging="72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39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43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46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54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3960" w:hanging="72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4320" w:hanging="72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4680" w:hanging="72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5040" w:hanging="72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6120" w:hanging="72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u w:val="none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39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43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46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50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54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61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</w:abstractNum>
  <w:num w:numId="1" w16cid:durableId="1429352272">
    <w:abstractNumId w:val="0"/>
  </w:num>
  <w:num w:numId="2" w16cid:durableId="1024870557">
    <w:abstractNumId w:val="1"/>
  </w:num>
  <w:num w:numId="3" w16cid:durableId="1894930149">
    <w:abstractNumId w:val="2"/>
  </w:num>
  <w:num w:numId="4" w16cid:durableId="1464998896">
    <w:abstractNumId w:val="3"/>
  </w:num>
  <w:num w:numId="5" w16cid:durableId="39131198">
    <w:abstractNumId w:val="4"/>
  </w:num>
  <w:num w:numId="6" w16cid:durableId="1105266834">
    <w:abstractNumId w:val="5"/>
  </w:num>
  <w:num w:numId="7" w16cid:durableId="1799690019">
    <w:abstractNumId w:val="6"/>
  </w:num>
  <w:num w:numId="8" w16cid:durableId="1501851979">
    <w:abstractNumId w:val="7"/>
  </w:num>
  <w:num w:numId="9" w16cid:durableId="434522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347B9"/>
    <w:rsid w:val="0003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numPr>
        <w:numId w:val="1"/>
      </w:numPr>
      <w:tabs>
        <w:tab w:val="left" w:pos="720"/>
      </w:tabs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numPr>
        <w:ilvl w:val="1"/>
        <w:numId w:val="2"/>
      </w:numPr>
      <w:tabs>
        <w:tab w:val="left" w:pos="1440"/>
      </w:tabs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numPr>
        <w:ilvl w:val="2"/>
        <w:numId w:val="3"/>
      </w:numPr>
      <w:tabs>
        <w:tab w:val="left" w:pos="2160"/>
      </w:tabs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numPr>
        <w:ilvl w:val="3"/>
        <w:numId w:val="4"/>
      </w:numPr>
      <w:tabs>
        <w:tab w:val="left" w:pos="288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/>
      <w:numPr>
        <w:ilvl w:val="4"/>
        <w:numId w:val="5"/>
      </w:numPr>
      <w:tabs>
        <w:tab w:val="left" w:pos="36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/>
      <w:numPr>
        <w:ilvl w:val="5"/>
        <w:numId w:val="6"/>
      </w:numPr>
      <w:tabs>
        <w:tab w:val="left" w:pos="432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/>
      <w:numPr>
        <w:ilvl w:val="6"/>
        <w:numId w:val="7"/>
      </w:numPr>
      <w:tabs>
        <w:tab w:val="left" w:pos="504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widowControl/>
      <w:numPr>
        <w:ilvl w:val="7"/>
        <w:numId w:val="8"/>
      </w:numPr>
      <w:tabs>
        <w:tab w:val="left" w:pos="576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/>
      <w:numPr>
        <w:ilvl w:val="8"/>
        <w:numId w:val="9"/>
      </w:numPr>
      <w:tabs>
        <w:tab w:val="left" w:pos="6480"/>
      </w:tabs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rPr>
      <w:b/>
      <w:bCs/>
      <w:sz w:val="20"/>
      <w:szCs w:val="20"/>
    </w:rPr>
  </w:style>
  <w:style w:type="paragraph" w:customStyle="1" w:styleId="parlamdrst">
    <w:name w:val="parlamdrst"/>
    <w:basedOn w:val="PlainText"/>
    <w:uiPriority w:val="99"/>
    <w:pPr>
      <w:widowControl/>
      <w:tabs>
        <w:tab w:val="left" w:pos="283"/>
      </w:tabs>
      <w:ind w:firstLine="284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</w:rPr>
  </w:style>
  <w:style w:type="character" w:customStyle="1" w:styleId="CharChar">
    <w:name w:val="Char Char"/>
    <w:basedOn w:val="CharChar1"/>
    <w:uiPriority w:val="99"/>
    <w:rPr>
      <w:rFonts w:ascii="Times New Roman" w:hAnsi="Times New Roman" w:cs="Times New Roman"/>
      <w:b/>
      <w:bCs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14657</Words>
  <Characters>83549</Characters>
  <Application>Microsoft Office Word</Application>
  <DocSecurity>0</DocSecurity>
  <Lines>696</Lines>
  <Paragraphs>196</Paragraphs>
  <ScaleCrop>false</ScaleCrop>
  <Company/>
  <LinksUpToDate>false</LinksUpToDate>
  <CharactersWithSpaces>98010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