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sz w:val="32"/>
          <w:szCs w:val="32"/>
          <w:u w:val="single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sz w:val="32"/>
          <w:szCs w:val="32"/>
          <w:lang w:val="ka-GE" w:eastAsia="ka-GE"/>
        </w:rPr>
      </w:pPr>
    </w:p>
    <w:p w:rsidR="00000000" w:rsidRDefault="00B934F5">
      <w:pPr>
        <w:tabs>
          <w:tab w:val="left" w:pos="283"/>
          <w:tab w:val="left" w:pos="360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left="360" w:right="360" w:firstLine="540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ფულის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</w:t>
      </w:r>
      <w:r>
        <w:rPr>
          <w:rFonts w:ascii="Sylfaen" w:eastAsia="Times New Roman" w:hAnsi="Sylfaen" w:cs="Sylfaen"/>
          <w:lang w:val="ka-GE" w:eastAsia="ka-GE"/>
        </w:rPr>
        <w:t>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ბინათმესაკუთრეთა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ამხანაგობა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ეზოლუცია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დანაწევრებით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გააკეთებდა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ამყარებს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თჯერად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X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</w:t>
      </w:r>
      <w:r>
        <w:rPr>
          <w:rFonts w:ascii="Sylfaen" w:eastAsia="Times New Roman" w:hAnsi="Sylfaen" w:cs="Sylfaen"/>
          <w:lang w:val="ka-GE" w:eastAsia="ka-GE"/>
        </w:rPr>
        <w:t>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</w:t>
      </w:r>
      <w:r>
        <w:rPr>
          <w:rFonts w:ascii="Sylfaen" w:eastAsia="Times New Roman" w:hAnsi="Sylfaen" w:cs="Sylfaen"/>
          <w:lang w:val="ka-GE" w:eastAsia="ka-GE"/>
        </w:rPr>
        <w:t>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სამთავრობათაშორისო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მაგროვებადი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bookmarkStart w:id="0" w:name="part_603"/>
      <w:bookmarkEnd w:id="0"/>
      <w:r>
        <w:rPr>
          <w:rFonts w:ascii="Sylfaen" w:hAnsi="Sylfaen" w:cs="Sylfaen"/>
          <w:noProof/>
          <w:lang w:val="ka-GE" w:eastAsia="ka-GE"/>
        </w:rPr>
        <w:fldChar w:fldCharType="begin"/>
      </w:r>
      <w:r>
        <w:rPr>
          <w:rFonts w:ascii="Sylfaen" w:hAnsi="Sylfaen" w:cs="Sylfaen"/>
          <w:noProof/>
          <w:lang w:val="ka-GE" w:eastAsia="ka-GE"/>
        </w:rPr>
        <w:instrText>HYPERLINK "https://matsne.gov.ge/ka/document/view/16426" \l "!"</w:instrText>
      </w:r>
      <w:r>
        <w:rPr>
          <w:rFonts w:ascii="Sylfaen" w:hAnsi="Sylfaen" w:cs="Sylfaen"/>
          <w:noProof/>
          <w:lang w:val="ka-GE" w:eastAsia="ka-GE"/>
        </w:rPr>
      </w:r>
      <w:r>
        <w:rPr>
          <w:rFonts w:ascii="Sylfaen" w:hAnsi="Sylfaen" w:cs="Sylfaen"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lang w:val="ka-GE" w:eastAsia="ka-GE"/>
        </w:rPr>
        <w:t xml:space="preserve">დანაშაული;  </w:t>
      </w:r>
      <w:r>
        <w:rPr>
          <w:rFonts w:ascii="Sylfaen" w:hAnsi="Sylfaen" w:cs="Sylfaen"/>
          <w:noProof/>
          <w:lang w:val="ka-GE" w:eastAsia="ka-GE"/>
        </w:rPr>
        <w:fldChar w:fldCharType="end"/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ტრასტების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ჰააგის</w:t>
      </w:r>
      <w:r>
        <w:rPr>
          <w:rFonts w:ascii="Sylfaen" w:eastAsia="Times New Roman" w:hAnsi="Sylfaen" w:cs="Sylfaen"/>
          <w:lang w:val="ka-GE" w:eastAsia="ka-GE"/>
        </w:rPr>
        <w:t xml:space="preserve"> 1985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(FATF)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სალიზინგო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6812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40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left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40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left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ნოტარიუსი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40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left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ფირმა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ძვირფასი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ჩუქება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შემნახველი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</w:t>
      </w:r>
      <w:r>
        <w:rPr>
          <w:rFonts w:ascii="Sylfaen" w:eastAsia="Times New Roman" w:hAnsi="Sylfaen" w:cs="Sylfaen"/>
          <w:lang w:val="ka-GE" w:eastAsia="ka-GE"/>
        </w:rPr>
        <w:t>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</w:t>
      </w:r>
      <w:r>
        <w:rPr>
          <w:rFonts w:ascii="Sylfaen" w:eastAsia="Times New Roman" w:hAnsi="Sylfaen" w:cs="Sylfaen"/>
          <w:lang w:val="ka-GE" w:eastAsia="ka-GE"/>
        </w:rPr>
        <w:t>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>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</w:t>
      </w:r>
      <w:r>
        <w:rPr>
          <w:rFonts w:ascii="Sylfaen" w:eastAsia="Times New Roman" w:hAnsi="Sylfaen" w:cs="Sylfaen"/>
          <w:lang w:val="ka-GE" w:eastAsia="ka-GE"/>
        </w:rPr>
        <w:t>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</w:t>
      </w:r>
      <w:r>
        <w:rPr>
          <w:rFonts w:ascii="Sylfaen" w:eastAsia="Times New Roman" w:hAnsi="Sylfaen" w:cs="Sylfaen"/>
          <w:lang w:val="ka-GE" w:eastAsia="ka-GE"/>
        </w:rPr>
        <w:t>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№1566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შელახო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შემადგენლობასა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</w:t>
      </w:r>
      <w:r>
        <w:rPr>
          <w:rFonts w:ascii="Sylfaen" w:eastAsia="Times New Roman" w:hAnsi="Sylfaen" w:cs="Sylfaen"/>
          <w:lang w:val="ka-GE" w:eastAsia="ka-GE"/>
        </w:rPr>
        <w:t>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ბიზნესპრაქტ</w:t>
      </w:r>
      <w:r>
        <w:rPr>
          <w:rFonts w:ascii="Sylfaen" w:eastAsia="Times New Roman" w:hAnsi="Sylfaen" w:cs="Sylfaen"/>
          <w:lang w:val="ka-GE" w:eastAsia="ka-GE"/>
        </w:rPr>
        <w:t>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</w:t>
      </w:r>
      <w:r>
        <w:rPr>
          <w:rFonts w:ascii="Sylfaen" w:eastAsia="Times New Roman" w:hAnsi="Sylfaen" w:cs="Sylfaen"/>
          <w:lang w:val="ka-GE" w:eastAsia="ka-GE"/>
        </w:rPr>
        <w:t>რციელა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ალუტაში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ინსტრუმენტზე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გაიზარდოს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 xml:space="preserve">50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10080"/>
        </w:tabs>
        <w:ind w:left="720" w:right="90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B934F5">
      <w:pPr>
        <w:tabs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550"/>
          <w:tab w:val="left" w:pos="10080"/>
        </w:tabs>
        <w:ind w:left="1080" w:right="12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B934F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30"/>
          <w:tab w:val="left" w:pos="9360"/>
        </w:tabs>
        <w:ind w:left="540" w:right="630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</w:t>
      </w:r>
      <w:r>
        <w:rPr>
          <w:rFonts w:ascii="Sylfaen" w:eastAsia="Times New Roman" w:hAnsi="Sylfaen" w:cs="Sylfaen"/>
          <w:lang w:val="ka-GE" w:eastAsia="ka-GE"/>
        </w:rPr>
        <w:t>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</w:t>
      </w:r>
      <w:r>
        <w:rPr>
          <w:rFonts w:ascii="Sylfaen" w:eastAsia="Times New Roman" w:hAnsi="Sylfaen" w:cs="Sylfaen"/>
          <w:lang w:val="ka-GE" w:eastAsia="ka-GE"/>
        </w:rPr>
        <w:t>ავლოს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№1566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გადამაადგილებელი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გამგზავნი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1132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ძვირფასი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</w:t>
      </w:r>
      <w:r>
        <w:rPr>
          <w:rFonts w:ascii="Sylfaen" w:eastAsia="Times New Roman" w:hAnsi="Sylfaen" w:cs="Sylfaen"/>
          <w:lang w:val="ka-GE" w:eastAsia="ka-GE"/>
        </w:rPr>
        <w:t>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</w:t>
      </w:r>
      <w:r>
        <w:rPr>
          <w:rFonts w:ascii="Sylfaen" w:eastAsia="Times New Roman" w:hAnsi="Sylfaen" w:cs="Sylfaen"/>
          <w:lang w:val="ka-GE" w:eastAsia="ka-GE"/>
        </w:rPr>
        <w:t>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 xml:space="preserve">     30 000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ფიქციუ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</w:t>
      </w:r>
      <w:r>
        <w:rPr>
          <w:rFonts w:ascii="Sylfaen" w:eastAsia="Times New Roman" w:hAnsi="Sylfaen" w:cs="Sylfaen"/>
          <w:lang w:val="ka-GE" w:eastAsia="ka-GE"/>
        </w:rPr>
        <w:t>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</w:t>
      </w:r>
      <w:r>
        <w:rPr>
          <w:rFonts w:ascii="Sylfaen" w:eastAsia="Times New Roman" w:hAnsi="Sylfaen" w:cs="Sylfaen"/>
          <w:lang w:val="ka-GE" w:eastAsia="ka-GE"/>
        </w:rPr>
        <w:t>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</w:t>
      </w:r>
      <w:r>
        <w:rPr>
          <w:rFonts w:ascii="Sylfaen" w:eastAsia="Times New Roman" w:hAnsi="Sylfaen" w:cs="Sylfaen"/>
          <w:lang w:val="ka-GE" w:eastAsia="ka-GE"/>
        </w:rPr>
        <w:t>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№1566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1132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ბენეფიცი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</w:t>
      </w:r>
      <w:r>
        <w:rPr>
          <w:rFonts w:ascii="Sylfaen" w:eastAsia="Times New Roman" w:hAnsi="Sylfaen" w:cs="Sylfaen"/>
          <w:lang w:val="ka-GE" w:eastAsia="ka-GE"/>
        </w:rPr>
        <w:t>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რისკფაქტორად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</w:t>
      </w:r>
      <w:r>
        <w:rPr>
          <w:rFonts w:ascii="Sylfaen" w:eastAsia="Times New Roman" w:hAnsi="Sylfaen" w:cs="Sylfaen"/>
          <w:lang w:val="ka-GE" w:eastAsia="ka-GE"/>
        </w:rPr>
        <w:t>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რისკფაქტორად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დანაგროვის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</w:t>
      </w:r>
      <w:r>
        <w:rPr>
          <w:rFonts w:ascii="Sylfaen" w:eastAsia="Times New Roman" w:hAnsi="Sylfaen" w:cs="Sylfaen"/>
          <w:lang w:val="ka-GE" w:eastAsia="ka-GE"/>
        </w:rPr>
        <w:t>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შუამავალი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</w:t>
      </w:r>
      <w:r>
        <w:rPr>
          <w:rFonts w:ascii="Sylfaen" w:eastAsia="Times New Roman" w:hAnsi="Sylfaen" w:cs="Sylfaen"/>
          <w:lang w:val="ka-GE" w:eastAsia="ka-GE"/>
        </w:rPr>
        <w:t>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დაეყრდნოს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(FATF)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</w:t>
      </w:r>
      <w:r>
        <w:rPr>
          <w:rFonts w:ascii="Sylfaen" w:eastAsia="Times New Roman" w:hAnsi="Sylfaen" w:cs="Sylfaen"/>
          <w:lang w:val="ka-GE" w:eastAsia="ka-GE"/>
        </w:rPr>
        <w:t>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დაეყრდნოს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უამავალს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</w:t>
      </w:r>
      <w:r>
        <w:rPr>
          <w:rFonts w:ascii="Sylfaen" w:eastAsia="Times New Roman" w:hAnsi="Sylfaen" w:cs="Sylfaen"/>
          <w:lang w:val="ka-GE" w:eastAsia="ka-GE"/>
        </w:rPr>
        <w:t>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აუთსორსინგული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აუთსორსინგული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(FATF)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აუთსორსინგული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ვერიფიკაციის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</w:t>
      </w:r>
    </w:p>
    <w:p w:rsidR="00000000" w:rsidRDefault="00B934F5">
      <w:pPr>
        <w:tabs>
          <w:tab w:val="left" w:pos="708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გადამხდელისა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გაუხსნელად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10080"/>
        </w:tabs>
        <w:ind w:left="720" w:right="90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B934F5">
      <w:pPr>
        <w:tabs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550"/>
          <w:tab w:val="left" w:pos="10080"/>
        </w:tabs>
        <w:ind w:left="1080" w:right="12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</w:t>
      </w:r>
      <w:r>
        <w:rPr>
          <w:rFonts w:ascii="Sylfaen" w:eastAsia="Times New Roman" w:hAnsi="Sylfaen" w:cs="Sylfaen"/>
          <w:lang w:val="ka-GE" w:eastAsia="ka-GE"/>
        </w:rPr>
        <w:t>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გამოავლინ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</w:t>
      </w:r>
      <w:r>
        <w:rPr>
          <w:rFonts w:ascii="Sylfaen" w:eastAsia="Times New Roman" w:hAnsi="Sylfaen" w:cs="Sylfaen"/>
          <w:lang w:val="ka-GE" w:eastAsia="ka-GE"/>
        </w:rPr>
        <w:t>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ნაკლოვანებები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</w:t>
      </w:r>
      <w:r>
        <w:rPr>
          <w:rFonts w:ascii="Sylfaen" w:eastAsia="Times New Roman" w:hAnsi="Sylfaen" w:cs="Sylfaen"/>
          <w:lang w:val="ka-GE" w:eastAsia="ka-GE"/>
        </w:rPr>
        <w:t>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</w:t>
      </w:r>
      <w:r>
        <w:rPr>
          <w:rFonts w:ascii="Sylfaen" w:eastAsia="Times New Roman" w:hAnsi="Sylfaen" w:cs="Sylfaen"/>
          <w:lang w:val="ka-GE" w:eastAsia="ka-GE"/>
        </w:rPr>
        <w:t>იქციაშია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>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რთული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უჩვეულ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ელჩი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</w:t>
      </w:r>
      <w:r>
        <w:rPr>
          <w:rFonts w:ascii="Sylfaen" w:eastAsia="Times New Roman" w:hAnsi="Sylfaen" w:cs="Sylfaen"/>
          <w:lang w:val="ka-GE" w:eastAsia="ka-GE"/>
        </w:rPr>
        <w:t>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</w:t>
      </w:r>
      <w:r>
        <w:rPr>
          <w:rFonts w:ascii="Sylfaen" w:eastAsia="Times New Roman" w:hAnsi="Sylfaen" w:cs="Sylfaen"/>
          <w:lang w:val="ka-GE" w:eastAsia="ka-GE"/>
        </w:rPr>
        <w:t>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არაფორმალურად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</w:t>
      </w:r>
      <w:r>
        <w:rPr>
          <w:rFonts w:ascii="Sylfaen" w:eastAsia="Times New Roman" w:hAnsi="Sylfaen" w:cs="Sylfaen"/>
          <w:lang w:val="ka-GE" w:eastAsia="ka-GE"/>
        </w:rPr>
        <w:t>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</w:t>
      </w:r>
      <w:r>
        <w:rPr>
          <w:rFonts w:ascii="Sylfaen" w:eastAsia="Times New Roman" w:hAnsi="Sylfaen" w:cs="Sylfaen"/>
          <w:lang w:val="ka-GE" w:eastAsia="ka-GE"/>
        </w:rPr>
        <w:t>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</w:t>
      </w:r>
      <w:r>
        <w:rPr>
          <w:rFonts w:ascii="Sylfaen" w:eastAsia="Times New Roman" w:hAnsi="Sylfaen" w:cs="Sylfaen"/>
          <w:lang w:val="ka-GE" w:eastAsia="ka-GE"/>
        </w:rPr>
        <w:t>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ანაგროვის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კორესპონდენტის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რესპონდენტისთვის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ამყარებამდე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ფინანსურმა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უშვ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(payable-through account).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საკორესპონდენტო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</w:t>
      </w:r>
      <w:r>
        <w:rPr>
          <w:rFonts w:ascii="Sylfaen" w:eastAsia="Times New Roman" w:hAnsi="Sylfaen" w:cs="Sylfaen"/>
          <w:lang w:val="ka-GE" w:eastAsia="ka-GE"/>
        </w:rPr>
        <w:t>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</w:t>
      </w:r>
      <w:r>
        <w:rPr>
          <w:rFonts w:ascii="Sylfaen" w:eastAsia="Times New Roman" w:hAnsi="Sylfaen" w:cs="Sylfaen"/>
          <w:lang w:val="ka-GE" w:eastAsia="ka-GE"/>
        </w:rPr>
        <w:t>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მკაფ</w:t>
      </w:r>
      <w:r>
        <w:rPr>
          <w:rFonts w:ascii="Sylfaen" w:eastAsia="Times New Roman" w:hAnsi="Sylfaen" w:cs="Sylfaen"/>
          <w:lang w:val="ka-GE" w:eastAsia="ka-GE"/>
        </w:rPr>
        <w:t>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გადამზღვეველმა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</w:t>
      </w:r>
      <w:r>
        <w:rPr>
          <w:rFonts w:ascii="Sylfaen" w:eastAsia="Times New Roman" w:hAnsi="Sylfaen" w:cs="Sylfaen"/>
          <w:lang w:val="ka-GE" w:eastAsia="ka-GE"/>
        </w:rPr>
        <w:t>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t>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თანხობ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10080"/>
        </w:tabs>
        <w:ind w:left="720" w:right="90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B934F5">
      <w:pPr>
        <w:tabs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550"/>
          <w:tab w:val="left" w:pos="10080"/>
        </w:tabs>
        <w:ind w:left="1080" w:right="12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</w:p>
    <w:p w:rsidR="00000000" w:rsidRDefault="00B934F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30"/>
          <w:tab w:val="left" w:pos="9360"/>
        </w:tabs>
        <w:ind w:left="540" w:right="630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ალბათობაზე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15"/>
          <w:tab w:val="left" w:pos="2124"/>
          <w:tab w:val="left" w:pos="28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მალულად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დეკლარირ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</w:t>
      </w:r>
      <w:r>
        <w:rPr>
          <w:rFonts w:ascii="Sylfaen" w:eastAsia="Times New Roman" w:hAnsi="Sylfaen" w:cs="Sylfaen"/>
          <w:lang w:val="ka-GE" w:eastAsia="ka-GE"/>
        </w:rPr>
        <w:t>შგებას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</w:t>
      </w:r>
      <w:r>
        <w:rPr>
          <w:rFonts w:ascii="Sylfaen" w:eastAsia="Times New Roman" w:hAnsi="Sylfaen" w:cs="Sylfaen"/>
          <w:lang w:val="ka-GE" w:eastAsia="ka-GE"/>
        </w:rPr>
        <w:t>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B934F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  <w:tab w:val="left" w:pos="9204"/>
        </w:tabs>
        <w:ind w:left="720" w:right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ორესპონდენცია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</w:t>
      </w:r>
      <w:r>
        <w:rPr>
          <w:rFonts w:ascii="Sylfaen" w:eastAsia="Times New Roman" w:hAnsi="Sylfaen" w:cs="Sylfaen"/>
          <w:lang w:val="ka-GE" w:eastAsia="ka-GE"/>
        </w:rPr>
        <w:t>უმენტი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</w:t>
      </w:r>
      <w:r>
        <w:rPr>
          <w:rFonts w:ascii="Sylfaen" w:eastAsia="Times New Roman" w:hAnsi="Sylfaen" w:cs="Sylfaen"/>
          <w:lang w:val="ka-GE" w:eastAsia="ka-GE"/>
        </w:rPr>
        <w:t>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შენახვი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გადაარწმუნოს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</w:t>
      </w:r>
      <w:r>
        <w:rPr>
          <w:rFonts w:ascii="Sylfaen" w:eastAsia="Times New Roman" w:hAnsi="Sylfaen" w:cs="Sylfaen"/>
          <w:lang w:val="ka-GE" w:eastAsia="ka-GE"/>
        </w:rPr>
        <w:t>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    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</w:t>
      </w:r>
      <w:r>
        <w:rPr>
          <w:rFonts w:ascii="Sylfaen" w:eastAsia="Times New Roman" w:hAnsi="Sylfaen" w:cs="Sylfaen"/>
          <w:lang w:val="ka-GE" w:eastAsia="ka-GE"/>
        </w:rPr>
        <w:t>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</w:t>
      </w:r>
      <w:r>
        <w:rPr>
          <w:rFonts w:ascii="Sylfaen" w:eastAsia="Times New Roman" w:hAnsi="Sylfaen" w:cs="Sylfaen"/>
          <w:lang w:val="ka-GE" w:eastAsia="ka-GE"/>
        </w:rPr>
        <w:t>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შესაბამისობ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საწარმომ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B934F5">
      <w:pPr>
        <w:tabs>
          <w:tab w:val="left" w:pos="180"/>
          <w:tab w:val="left" w:pos="27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</w:t>
      </w:r>
      <w:r>
        <w:rPr>
          <w:rFonts w:ascii="Sylfaen" w:eastAsia="Times New Roman" w:hAnsi="Sylfaen" w:cs="Sylfaen"/>
          <w:lang w:val="ka-GE" w:eastAsia="ka-GE"/>
        </w:rPr>
        <w:t>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№1566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საყურადღებო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</w:t>
      </w:r>
      <w:r>
        <w:rPr>
          <w:rFonts w:ascii="Sylfaen" w:eastAsia="Times New Roman" w:hAnsi="Sylfaen" w:cs="Sylfaen"/>
          <w:lang w:val="ka-GE" w:eastAsia="ka-GE"/>
        </w:rPr>
        <w:t>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ფორუმებზე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</w:t>
      </w:r>
      <w:r>
        <w:rPr>
          <w:rFonts w:ascii="Sylfaen" w:eastAsia="Times New Roman" w:hAnsi="Sylfaen" w:cs="Sylfaen"/>
          <w:lang w:val="ka-GE" w:eastAsia="ka-GE"/>
        </w:rPr>
        <w:t>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</w:p>
    <w:p w:rsidR="00000000" w:rsidRDefault="00B934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               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განაახლოს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t>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</w:t>
      </w:r>
      <w:r>
        <w:rPr>
          <w:rFonts w:ascii="Sylfaen" w:eastAsia="Times New Roman" w:hAnsi="Sylfaen" w:cs="Sylfaen"/>
          <w:lang w:val="ka-GE" w:eastAsia="ka-GE"/>
        </w:rPr>
        <w:t>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</w:t>
      </w:r>
      <w:r>
        <w:rPr>
          <w:rFonts w:ascii="Sylfaen" w:eastAsia="Times New Roman" w:hAnsi="Sylfaen" w:cs="Sylfaen"/>
          <w:lang w:val="ka-GE" w:eastAsia="ka-GE"/>
        </w:rPr>
        <w:t>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</w:t>
      </w:r>
      <w:r>
        <w:rPr>
          <w:rFonts w:ascii="Sylfaen" w:eastAsia="Times New Roman" w:hAnsi="Sylfaen" w:cs="Sylfaen"/>
          <w:lang w:val="ka-GE" w:eastAsia="ka-GE"/>
        </w:rPr>
        <w:t>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შელახოს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</w:t>
      </w:r>
      <w:r>
        <w:rPr>
          <w:rFonts w:ascii="Sylfaen" w:eastAsia="Times New Roman" w:hAnsi="Sylfaen" w:cs="Sylfaen"/>
          <w:lang w:val="ka-GE" w:eastAsia="ka-GE"/>
        </w:rPr>
        <w:t>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</w:t>
      </w:r>
      <w:r>
        <w:rPr>
          <w:rFonts w:ascii="Sylfaen" w:eastAsia="Times New Roman" w:hAnsi="Sylfaen" w:cs="Sylfaen"/>
          <w:lang w:val="ka-GE" w:eastAsia="ka-GE"/>
        </w:rPr>
        <w:t>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მოაწესრიგებს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</w:p>
    <w:p w:rsidR="00000000" w:rsidRDefault="00B934F5">
      <w:pPr>
        <w:tabs>
          <w:tab w:val="left" w:pos="180"/>
          <w:tab w:val="left" w:pos="27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). 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t>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გაზიარებით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საზედამხე</w:t>
      </w:r>
      <w:r>
        <w:rPr>
          <w:rFonts w:ascii="Sylfaen" w:eastAsia="Times New Roman" w:hAnsi="Sylfaen" w:cs="Sylfaen"/>
          <w:lang w:val="ka-GE" w:eastAsia="ka-GE"/>
        </w:rPr>
        <w:t>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</w:t>
      </w:r>
      <w:r>
        <w:rPr>
          <w:rFonts w:ascii="Sylfaen" w:eastAsia="Times New Roman" w:hAnsi="Sylfaen" w:cs="Sylfaen"/>
          <w:lang w:val="ka-GE" w:eastAsia="ka-GE"/>
        </w:rPr>
        <w:t>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№1566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:rsidR="00000000" w:rsidRDefault="00B934F5">
      <w:pPr>
        <w:tabs>
          <w:tab w:val="left" w:pos="180"/>
          <w:tab w:val="left" w:pos="27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left="720" w:right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შემადგენლობასა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(30.03.2021. N425)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1373 (2001)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1373 (2001)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1373 (2001)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სამთავრ</w:t>
      </w:r>
      <w:r>
        <w:rPr>
          <w:rFonts w:ascii="Sylfaen" w:eastAsia="Times New Roman" w:hAnsi="Sylfaen" w:cs="Sylfaen"/>
          <w:lang w:val="ka-GE" w:eastAsia="ka-GE"/>
        </w:rPr>
        <w:t>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</w:t>
      </w:r>
      <w:r>
        <w:rPr>
          <w:rFonts w:ascii="Sylfaen" w:eastAsia="Times New Roman" w:hAnsi="Sylfaen" w:cs="Sylfaen"/>
          <w:lang w:val="ka-GE" w:eastAsia="ka-GE"/>
        </w:rPr>
        <w:t>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(30.03.2021. N425)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შეისწავლოს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41-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ვარაუდისთვის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41-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ვარაუდისთვის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აღარ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უშიშროების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რეზოლუციით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იპოთეკური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მედიკამენტების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ყადაღადადებული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შეატყობინებს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9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უშიშრო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რეზოლუციით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</w:t>
      </w:r>
      <w:r>
        <w:rPr>
          <w:rFonts w:ascii="Sylfaen" w:eastAsia="Times New Roman" w:hAnsi="Sylfaen" w:cs="Sylfaen"/>
          <w:lang w:val="en-US"/>
        </w:rPr>
        <w:t>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გამოვლენისა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გაეროს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უშიშროების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რეზოლუციით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ყადაღის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უცილებელია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სანქციადაკისრებულ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40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</w:t>
      </w:r>
      <w:r>
        <w:rPr>
          <w:rFonts w:ascii="Sylfaen" w:eastAsia="Times New Roman" w:hAnsi="Sylfaen" w:cs="Sylfaen"/>
          <w:lang w:val="ka-GE" w:eastAsia="ka-GE"/>
        </w:rPr>
        <w:t>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სამთავ</w:t>
      </w:r>
      <w:r>
        <w:rPr>
          <w:rFonts w:ascii="Sylfaen" w:eastAsia="Times New Roman" w:hAnsi="Sylfaen" w:cs="Sylfaen"/>
          <w:lang w:val="ka-GE" w:eastAsia="ka-GE"/>
        </w:rPr>
        <w:t>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მოღებასთან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  <w:r>
        <w:rPr>
          <w:rFonts w:ascii="Sylfaen" w:eastAsia="Times New Roman" w:hAnsi="Sylfaen" w:cs="Sylfaen"/>
          <w:lang w:val="ka-GE" w:eastAsia="ka-GE"/>
        </w:rPr>
        <w:t>თავებით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დაამყარა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მატერიალურობა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№17, 16.06.2003,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113).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„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№17, 16.06.2003,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113)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</w:t>
      </w:r>
      <w:r>
        <w:rPr>
          <w:rFonts w:ascii="Sylfaen" w:eastAsia="Times New Roman" w:hAnsi="Sylfaen" w:cs="Sylfaen"/>
          <w:lang w:val="ka-GE" w:eastAsia="ka-GE"/>
        </w:rPr>
        <w:t>სალომე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ზურაბიშვილი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ოქტომბერი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en-US"/>
        </w:rPr>
        <w:t xml:space="preserve">5226 </w:t>
      </w:r>
      <w:r>
        <w:rPr>
          <w:rFonts w:ascii="Sylfaen" w:eastAsia="Times New Roman" w:hAnsi="Sylfaen" w:cs="Sylfaen"/>
          <w:lang w:val="en-US"/>
        </w:rPr>
        <w:t>– 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           </w:t>
      </w:r>
    </w:p>
    <w:p w:rsidR="00000000" w:rsidRDefault="00B934F5">
      <w:pPr>
        <w:tabs>
          <w:tab w:val="left" w:pos="283"/>
          <w:tab w:val="left" w:pos="566"/>
          <w:tab w:val="left" w:pos="849"/>
          <w:tab w:val="left" w:pos="990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34F5"/>
    <w:rsid w:val="00B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position w:val="5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13751</Words>
  <Characters>78386</Characters>
  <Application>Microsoft Office Word</Application>
  <DocSecurity>0</DocSecurity>
  <Lines>653</Lines>
  <Paragraphs>183</Paragraphs>
  <ScaleCrop>false</ScaleCrop>
  <Company/>
  <LinksUpToDate>false</LinksUpToDate>
  <CharactersWithSpaces>91954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