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კავშირების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N6870)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გაერთიანებების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ასოციაციების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თავისებურებანი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სუფლად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გამოვიდეს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პენსიონერს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დასაფუძნებლად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საორგანიზაციო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დამფუძნებელ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კონფერენციას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ყრილობას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(29.09.2020 N7182)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მონათესავე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პროფკომიტეტი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პროფორგანიზატორ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პროფჯგუფორგი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რწმუნებით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დამქირავებელი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პენსიონერი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იზიარებს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სატარიფო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დამოუკიდებლობა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N6870)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მოპოვება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br/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თანამშრომლობა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ლიკვიდაცია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ყრილობის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ყრილობის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წარმომადგენლობის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აირჩიონ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სატარიფო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განაკვეთებისა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სატარიფო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N6870)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რეორგანიზაც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გაუარესებას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კომიტეტთან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მოლაპარაკების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N6870)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მოლაპარაკება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გამოიჩენს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განხილვასა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გადაწყვეტაში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გაფიცვა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მიტინგი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დემონსტრაცია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საპროტესტო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საპროტესტო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ჩასახშობად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საპასუხო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N6870)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მუშაკის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სწავლება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ამაღლება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სწავლება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პროფ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შევიდნენ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სატარიფო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მონაწილეობ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ტრავმებისა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დაპროექტებისას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პრივატიზაციაში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რწმუნებით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საპრივატიზაციო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კოლეგიური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მონაწილეობა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განმხილველ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წარმომადგენლობის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გამოვიდეს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განყოფილებები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მსაქმებელთან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გაერთიანებასთან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კავშირთან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ასოციაციასთან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 N6870)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N6870)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N6870)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შესაზღუდავად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გარანტიები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გარანტიები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ანარიცხებისაგან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შემოწირულებებისაგან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გამაჯანსაღებელი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საგამომცემლო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აგარაკები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დასასვენებელი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საბავშვო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დააზღვიოს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ჰუმანიტარულ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ანარიცხებიდან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შემოწირულებებიდან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ხელფასებზე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ანარიცხები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ერიცხებათ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მუშაკის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გარანტიები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ყრილობის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დელეგატად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პროფორგანიზატორის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პროფჯგუფორგის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დასჯა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გათავისუფლებულ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პროფკავშირული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მუშაკის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გარანტიები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წინანდელ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ტოლფასი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დამთავრებიდან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პროფკომიტეტში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შესაქმნელად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ხელფასიდან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IV.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დარღვევისთვის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კომიტეტს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სატარიფო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28.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სატარიფო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საპროტესტო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ხელსაწყოს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დაპროექტებისას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№15-16, 26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1997,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>. 6).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30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N3825-I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945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45CD0"/>
    <w:rsid w:val="009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4825</Words>
  <Characters>27507</Characters>
  <Application>Microsoft Office Word</Application>
  <DocSecurity>0</DocSecurity>
  <Lines>229</Lines>
  <Paragraphs>64</Paragraphs>
  <ScaleCrop>false</ScaleCrop>
  <Company/>
  <LinksUpToDate>false</LinksUpToDate>
  <CharactersWithSpaces>32268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