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შინაგან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ცენტრი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112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“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ის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hAnsi="Sylfaen" w:cs="Sylfaen"/>
          <w:sz w:val="24"/>
          <w:szCs w:val="24"/>
          <w:lang w:val="en-US"/>
        </w:rPr>
        <w:t>112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hAnsi="Sylfaen" w:cs="Sylfaen"/>
          <w:sz w:val="24"/>
          <w:szCs w:val="24"/>
          <w:lang w:val="en-US"/>
        </w:rPr>
        <w:t>112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shd w:val="clear" w:color="auto" w:fill="EAEAEA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დაფიქსირებისა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24-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საათიანი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ვიდეოანალიტიკური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24-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საათიანი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ვიდეომეთვალყურეობის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დაფიქსირება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ავტომობილების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დაფიქსირება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არაგეოგრაფიული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(05.01.2021.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78)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(05.01.2021.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78)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უუქმდებათ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0"/>
          <w:szCs w:val="20"/>
          <w:lang w:val="en-US"/>
        </w:rPr>
        <w:t>09.06.2021.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№614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ევაკუატორით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იქცევით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მისაქცევად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0"/>
          <w:szCs w:val="20"/>
          <w:lang w:val="en-US"/>
        </w:rPr>
        <w:t>09.06.2021.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№614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ჩასაბარებლად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განკარგავს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კურატორ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საბრუნავი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სგან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სგან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№6940)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ხმარდება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„112“ </w:t>
      </w:r>
      <w:r>
        <w:rPr>
          <w:rFonts w:ascii="Sylfae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„112“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ჩაითვალოს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„112“.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„112“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201</w:t>
      </w: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ამსახურეებად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hAnsi="Sylfaen" w:cs="Sylfaen"/>
          <w:sz w:val="24"/>
          <w:szCs w:val="24"/>
          <w:lang w:val="ka-GE" w:eastAsia="ka-GE"/>
        </w:rPr>
        <w:t>: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20</w:t>
      </w:r>
      <w:r>
        <w:rPr>
          <w:rFonts w:ascii="Sylfaen" w:hAnsi="Sylfaen" w:cs="Sylfaen"/>
          <w:sz w:val="24"/>
          <w:szCs w:val="24"/>
          <w:lang w:val="en-US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hAnsi="Sylfaen" w:cs="Sylfaen"/>
          <w:sz w:val="24"/>
          <w:szCs w:val="24"/>
          <w:lang w:val="en-US"/>
        </w:rPr>
        <w:t>112</w:t>
      </w:r>
      <w:r>
        <w:rPr>
          <w:rFonts w:ascii="Sylfaen" w:eastAsia="Times New Roman" w:hAnsi="Sylfaen" w:cs="Sylfaen"/>
          <w:sz w:val="24"/>
          <w:szCs w:val="24"/>
          <w:lang w:val="en-US"/>
        </w:rPr>
        <w:t>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05.12.2011,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040030000.05.001.016485)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ზურაბიშვილი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№5611 -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BC4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4E0C"/>
    <w:rsid w:val="00B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3668</Words>
  <Characters>20908</Characters>
  <Application>Microsoft Office Word</Application>
  <DocSecurity>0</DocSecurity>
  <Lines>174</Lines>
  <Paragraphs>49</Paragraphs>
  <ScaleCrop>false</ScaleCrop>
  <Company/>
  <LinksUpToDate>false</LinksUpToDate>
  <CharactersWithSpaces>24527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