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57B5">
      <w:pPr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3057B5">
      <w:pPr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3057B5">
      <w:pPr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ენერგიის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3057B5">
      <w:pPr>
        <w:spacing w:after="0" w:line="20" w:lineRule="atLeast"/>
        <w:rPr>
          <w:b/>
          <w:bCs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თევზგადასამუშავებელი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ოკეანის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ჰიდროენერგია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ნაგავსაყრელზე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გამწმენდ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თევზგადასამუშავებელ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გასათბობად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ორთქლის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გაუთანაბრდეს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წაახალისებს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დაზოგვას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უტოლდებოდეს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ონისძიებებთან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ბენზინი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გამრავლებული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ელექტროენერგეტიკის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N7023)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ნიშნულთ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გამოთვლა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ჰიდრომააკუმულირებელ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ამოტუმბული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ჰიდროელექტროსადგუ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ეურნეობაში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მეთევზეობის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ასამუშავებლად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6.18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შორის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ამშრომლობაში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გამოაკლდეს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გამტარუნარიანობაზე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უსარგებლია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სტემათაშორისი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კონტექსტში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გასათვალისწინებელ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შემთანხმებელი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შეითანხმა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სქემები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გასანაწილებლად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გაზრდა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ბიოსაწვავად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ენერგოპროდუქტად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გარდაქმნის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წარმოებასთან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ქსელების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N7023)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დამპროექტებლების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დეცენტრალიზებული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N7023)</w:t>
      </w:r>
    </w:p>
    <w:p w:rsidR="00000000" w:rsidRDefault="00305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წაახალისოს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N7023)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კოგენერაციასა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70%-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აბსორბციული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ტრენინგები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მცირემასშტაბიანი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ბოილერებისა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ფოტოელექტრული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დამპროექტებლებისთვის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ასამაღლებელი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ტრენინგპროგრამების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</w:t>
      </w:r>
      <w:r>
        <w:rPr>
          <w:rFonts w:ascii="Sylfaen" w:hAnsi="Sylfaen" w:cs="Sylfaen"/>
          <w:sz w:val="20"/>
          <w:szCs w:val="20"/>
          <w:lang w:val="ka-GE" w:eastAsia="ka-GE"/>
        </w:rPr>
        <w:t>5.07.2020 N7023)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სერტიფიკატები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ნაზავში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მეგავატ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გამოაკლდეს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ნაზავში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ყუარობასთან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ოპერირება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ნაბიჯები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განსავითარებლად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დისპეტჩერიზაციის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ურთიერთდამაკავშირებელ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სიმჭიდროვის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მისაერთებლად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პრეტენდენტებთან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სიმჭიდროვის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ძაბვის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ოდორიზაციასა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ნაბიჯები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განსავითარებლად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კრიტერიუმები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მეთევზეობისა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შემოწმება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სიხშირე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რელევანტურ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დეგრადირებული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ოთხოვნებსაც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დერივატივებთან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ლიგნოცელულოზის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გასაზრდელად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ლიგნოცელულოზის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არარეგულაციური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ლიგნოცელულოზის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ნაბიჯები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არაგანახლ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ენგურჰესისა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ვარდნილჰესის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უკმარისობის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დარეგულირდეს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ბიოგაზისა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ბიოსითხეებისა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ჰარმონიზებული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გასაფორმებელი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მემონტაჟეების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ედება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ზურაბიშვილი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057B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>5652-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3057B5">
      <w:pPr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jc w:val="righ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I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057B5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58"/>
        <w:gridCol w:w="1947"/>
        <w:gridCol w:w="6660"/>
      </w:tblGrid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2030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წლისთვის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დადგენილი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მთლიან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საბოლოო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მოხმარებ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აში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წილის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საერთო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სამიზნე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მაჩვენებლები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1.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საერთო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სამიზნე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მაჩვენებლები</w:t>
            </w:r>
          </w:p>
        </w:tc>
      </w:tr>
      <w:tr w:rsidR="0000000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tabs>
                <w:tab w:val="left" w:pos="76"/>
              </w:tabs>
              <w:spacing w:after="0" w:line="20" w:lineRule="atLeast"/>
              <w:ind w:left="76" w:right="25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მთლიან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საბოლოო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მოხმარებაში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, 2019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tabs>
                <w:tab w:val="left" w:pos="76"/>
              </w:tabs>
              <w:spacing w:after="0" w:line="20" w:lineRule="atLeast"/>
              <w:ind w:left="76" w:right="27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მთლია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საბოლოო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მოხმარებაში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საერთო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სამიზნე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, 2030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2030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tabs>
                <w:tab w:val="left" w:pos="76"/>
              </w:tabs>
              <w:spacing w:after="0" w:line="20" w:lineRule="atLeast"/>
              <w:ind w:left="76" w:right="25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29.5%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tabs>
                <w:tab w:val="left" w:pos="76"/>
              </w:tabs>
              <w:spacing w:after="0" w:line="20" w:lineRule="atLeast"/>
              <w:ind w:left="76" w:right="2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35%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2.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საორიენტაციო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კანონის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-3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მუხლის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-3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პუნქტით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საორიენტაციო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უნდა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შედგებოდ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შემდეგი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წილებისგან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: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+ 0.20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2030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– 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როგორც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პერიოდისთვის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(2021-2022); </w:t>
            </w:r>
          </w:p>
        </w:tc>
      </w:tr>
      <w:tr w:rsidR="00000000">
        <w:trPr>
          <w:trHeight w:val="7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+ 0.30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2030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– 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),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როგორც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პერიოდისთვის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(2023-2024); 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+ 0.45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2030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– 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როგორც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პერიოდისთვის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(2025- 2026); 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+ 0.65 (S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 xml:space="preserve">2030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– 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როგორც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პერიოდისთვის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(2027-2028),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სადაც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: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2019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=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2019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წელს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მოცემულია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პირველ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პუნქტში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;  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S</w:t>
            </w:r>
            <w:r>
              <w:rPr>
                <w:rFonts w:ascii="Sylfaen" w:hAnsi="Sylfaen" w:cs="Sylfaen"/>
                <w:position w:val="-6"/>
                <w:sz w:val="20"/>
                <w:szCs w:val="20"/>
                <w:lang w:val="ka-GE" w:eastAsia="ka-GE"/>
              </w:rPr>
              <w:t>2030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 xml:space="preserve"> =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საქართველოს</w:t>
            </w:r>
            <w:r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2030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წელს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მოცემულია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დანართის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პირველ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პუნქტში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</w:t>
            </w:r>
          </w:p>
        </w:tc>
      </w:tr>
      <w:tr w:rsidR="00000000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3.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დანართით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საერთო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სამიზნე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მაჩვენებლების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მისაღწევად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გარემოს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დასაცავად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დახმარების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სახელმძღვანელო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წესები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უნდ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აღიარებდეს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წასახალისებლად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მხარდაჭერის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მექანიზმების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განგრძობადი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არსებობის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საჭიროებას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.</w:t>
            </w:r>
          </w:p>
        </w:tc>
      </w:tr>
    </w:tbl>
    <w:p w:rsidR="00000000" w:rsidRDefault="003057B5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057B5">
      <w:pPr>
        <w:spacing w:after="0" w:line="20" w:lineRule="atLeast"/>
        <w:jc w:val="righ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II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057B5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240"/>
        <w:gridCol w:w="3510"/>
        <w:gridCol w:w="3240"/>
      </w:tblGrid>
      <w:tr w:rsidR="00000000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სატრანსპორტო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საწვავში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შემცველობა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საწვავის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სახეობა</w:t>
            </w:r>
          </w:p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widowControl w:val="0"/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შემცველობა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საწვავის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წონის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მიხედვით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უფრო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ბალი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თბოუნარიანობა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მგჯ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კგ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ენერგიის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შემცველობა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საწვავის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მოცულობის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მიხედვით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უფრო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დაბალი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თბოუნარიანობა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მგჯ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widowControl w:val="0"/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ბიოეთანოლი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ბიომასისგან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ეთანოლი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21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ეთილ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ტერტ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ბუთილის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ეთერი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(ETBE)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ბიოეთანოლის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საფუძველზე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36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37%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27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37%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ბიომეთანოლი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ბიომასისგან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მეთანოლი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ბიოსაწვავად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გამოიყენება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16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მეთილ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ტერტ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ბუთილის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ეთერი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(MTBE)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ბიომეთანოლის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საფუძველზე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35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22%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26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22%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widowControl w:val="0"/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დიმეთილეთერი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(DME)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ბიომასისგან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დიმეთილეთერი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ბიოსაწვავად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გამოიყენება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19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widowControl w:val="0"/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ტერტ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ამილ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ეთილ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ეთერი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(TA</w:t>
            </w:r>
            <w:r>
              <w:rPr>
                <w:rFonts w:ascii="Sylfaen" w:hAnsi="Sylfaen" w:cs="Sylfaen"/>
                <w:color w:val="231F20"/>
                <w:sz w:val="20"/>
                <w:szCs w:val="20"/>
                <w:lang w:val="en-US"/>
              </w:rPr>
              <w:t>E</w:t>
            </w:r>
            <w:r>
              <w:rPr>
                <w:rFonts w:ascii="Sylfaen" w:hAnsi="Sylfaen" w:cs="Sylfaen"/>
                <w:color w:val="231F20"/>
                <w:sz w:val="20"/>
                <w:szCs w:val="20"/>
                <w:lang w:val="ka-GE" w:eastAsia="ka-GE"/>
              </w:rPr>
              <w:t>E)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ბიოეთანოლის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საფუძვე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ლზე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38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29%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29 (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აქედან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29%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მიღებულია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განახლებადი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წყაროებიდან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widowControl w:val="0"/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ბიობუტანოლი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ბიომასისგან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ბუტანოლი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ბიოსაწვავად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გამოიყენება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27</w:t>
            </w:r>
          </w:p>
          <w:p w:rsidR="00000000" w:rsidRDefault="003057B5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ბიოდიზელი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მცენარეული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ცხოველური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დიზელი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ხარისხის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მეთილეთერი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ბიოსაწვავად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გამოიყენება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33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ფიშერ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ტროფშის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დიზელის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საწვავი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ბიომასისგან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სინთეზური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ნახშირწყალბადი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სინთეზური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ნახშირწყალბადების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ნარევი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34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ჰიდრირებული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მცენარეული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წყალბადით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თერმოქიმიურად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გაწმენდილი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მცენ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არეული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34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სუფთა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მცენარეული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ზეთოვანი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კულტურისგან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დაწნეხის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მოპოვების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მსგავსი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პროცედურის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გამოყენებით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ნედლი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რაფინირებული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მაგრამ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ქიმიურად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უცვლელი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ზეთი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ძრავის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ტიპებთან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თავსებადია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აკმაყოფილებს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ემისიის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შესაბამის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მოთ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ხოვნებს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34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ბიოგაზი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ბიომასის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ბიოლოგიური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წარმოშობის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ნარჩენის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ბიოდეგრადირებადი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ნაწილისგან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საწვავი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გაზი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შეიძლება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გაიწმინდოს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ბუნებრივი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გაზის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ხარისხამდე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ბიოსაწვავად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იქნეს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გამოყენებული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ხის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მასალისგან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მიღებული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გაზი</w:t>
            </w:r>
            <w:r>
              <w:rPr>
                <w:rFonts w:ascii="Sylfaen" w:eastAsia="Times New Roman" w:hAnsi="Sylfaen" w:cs="Sylfaen"/>
                <w:color w:val="231F20"/>
                <w:sz w:val="20"/>
                <w:szCs w:val="20"/>
                <w:lang w:val="ka-GE" w:eastAsia="ka-GE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34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ბე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ნზინი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32</w:t>
            </w:r>
          </w:p>
        </w:tc>
      </w:tr>
      <w:tr w:rsidR="00000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დიზელი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7B5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36</w:t>
            </w:r>
          </w:p>
        </w:tc>
      </w:tr>
    </w:tbl>
    <w:p w:rsidR="00000000" w:rsidRDefault="003057B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sectPr w:rsidR="0000000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57B5"/>
    <w:rsid w:val="003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12149</Words>
  <Characters>69252</Characters>
  <Application>Microsoft Office Word</Application>
  <DocSecurity>0</DocSecurity>
  <Lines>577</Lines>
  <Paragraphs>162</Paragraphs>
  <ScaleCrop>false</ScaleCrop>
  <Company/>
  <LinksUpToDate>false</LinksUpToDate>
  <CharactersWithSpaces>81239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