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ფინანსური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გირავნობის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ურთიერთგაქვითვისა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დერივატივების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დებულებანი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სეკიურიტიზაციის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განმარტება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გადახდისუუნარო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დეფოლტი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დამგირა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აზღვრულია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ეკვივალენტურ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იპოთეკას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შემთხვევითობაზე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დამოკიდებული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მარჟის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სესხებისა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გასესხების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როგორებიცაა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რეპო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უკურეპო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გასესხების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სესხებს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სესხებთან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სესხებისა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გასესხების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როგორებიცაა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გამოსყიდვისა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უკუგამოსყიდვის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გასესხების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სპოტგარიგებისა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კლირინგის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მრავალფილიალიან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ფილიალის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სამყოფლისგან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განსხვავებულ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იურისდიქციაში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დაგირავება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ნეტპოზიცია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ნეტპოზიცია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სეგმენტი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ვაჭრობა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ოფციონი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არაორგანიზებულ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მომავალში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მიჰყიდოს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იყიდოს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ოფციონი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გადაუხადოს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საზღაური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ოფციონის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პრემიუმი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რეპო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ვალუტა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ვალუტა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გააფართოოს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ჟ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ვალუტის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ინდიკატორები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გააფართოოს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დაჩქარება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აქსელერაცია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დაჩქარებული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სალიკვიდაციო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ჩანაცვლების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დაანგარიშება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დაანგარიშებული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ვალუტაში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კონვერსია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გამოთვლა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სადებეტო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ნეტპოზიცია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–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კრედიტის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ნეტპოზიცია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ნეტმოთხოვნა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–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ნეტმოთხოვნა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რეპო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დამგირავებლის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კრედიტორისთვის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გადახდისუუნარობის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რეზოლუციის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გადახდისუუნარობის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გაკოტრებულად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უუნარობის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გადახდისუუნარობის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კრედიტორთა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(18.09.2020 N7174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აპრილიდან</w:t>
      </w:r>
      <w:r>
        <w:rPr>
          <w:rFonts w:ascii="Sylfaen" w:hAnsi="Sylfaen" w:cs="Sylfaen"/>
          <w:sz w:val="24"/>
          <w:szCs w:val="24"/>
          <w:lang w:val="en-US"/>
        </w:rPr>
        <w:t>)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შემოღებას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რეზოლუციის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შემოღებას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შემოღებას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ყ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სვოპი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არაორგანიზებულ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განსხვავებულ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სვოპი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სვოპგარიგება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გაცვლას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რომელთანაც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ვალუტის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სპოტთარიღზე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ჩ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კრედიტორის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იმგვარად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დაგირავებას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კრედიტორზე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მოგირავნეზ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გადავიდეს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უკურეპო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ყიდვას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გამყიდველისთვის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ძ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რთიერთგაქვითვა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ნეტინგი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ჩარჩოშეთანხმება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სამომავლო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აერთიანებს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ჩარჩოშეთანხმებას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ჭ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გასესხე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გამსესხებელი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საზღაურის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მსესხებელს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მსესხებელი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გამსესხებელს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მსესხებელი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გამსესხებელს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დაუბრუნოს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ჩარჩოხელშეკრულების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ჯ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მომავალში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ჩასარიცხი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მიმოქცევადი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კომპანიაში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მიმოქცევადი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ემიტირებული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ძვირფასი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ლითონი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ფიუჩერსი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მომავალში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მიჰყიდოს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იყიდოს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რვარდი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არაორგანიზებულ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მომავალში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მიჰყიდოს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იყიდოს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ნაკადები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მოძრაობა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ვალუტით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ემიტენტის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დებიტორის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ნომინალური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ვალუტისა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დადგომისას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დეფოლტი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დაისაკუთროს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ვალუტაში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როგორიცაა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დეპოზიტი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7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7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სამომავლო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ჩარჩოხელშეკრულებიდან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7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დამგირავებლის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7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დროდადრო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8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დაგირავებული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გახსნილ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გახსნილ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გაკეთებით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კეთდება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10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გაასხვისოს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ჩვეულებრივ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სახაზინო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ობლიგაციები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სადეპოზიტო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12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ყიდვითა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ბითუმად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13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სპოტთარიღი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14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15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კონტრაჰენტი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მყიდველი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გამყიდველის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გამყიდველი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დერივატივი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ურთიერთგაქვითვა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დერივატივი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ნაკადები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დამოკიდებულია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ნგარიშსწორებით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აკისრებს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იყიდოს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აკისრებს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მომავალში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იყიდოს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ავალდებულებს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მომავალში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შეთანხმდებიან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ნასყიდობის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აკონკრეტებს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ეკვივალენტურია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განსხვავდებოდეს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გამყიდველი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მყიდველი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მყიდველი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გამყიდველი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რეპო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დეპოზიტის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ფაქტორინგი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პირგასამტეხლო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კონტრაჰენტი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საკლირინგო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ამხანაგობა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მონაქმნი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განუცხადოს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აუხსნას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გამჟღავნების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გაცვლას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აუდიოჩანა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აუდიოჩანაწერის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ნამდვილობა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აღსრულებადობა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საეჭვო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ნამდვილობა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აღსრულებადობა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სანაძლეო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თამაშობა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ლატარია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მიჩნეულ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სანაძლეოსთან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თამაშობასთან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ლატარიასთან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აღსრულებადობა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რულებადია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გადახდისუუნარო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</w:t>
      </w:r>
      <w:r>
        <w:rPr>
          <w:rFonts w:ascii="Sylfaen" w:eastAsia="Times New Roman" w:hAnsi="Sylfaen" w:cs="Sylfaen"/>
          <w:sz w:val="24"/>
          <w:szCs w:val="24"/>
          <w:lang w:val="en-US"/>
        </w:rPr>
        <w:t>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გადახდისუუნარო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გადახდისუუნარო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აღსრულებადია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გადახდისუუნარო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გადახდისუუნარო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გადახდისუუნარო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(18.09.2020 N7174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აპრილიდან</w:t>
      </w:r>
      <w:r>
        <w:rPr>
          <w:rFonts w:ascii="Sylfaen" w:hAnsi="Sylfaen" w:cs="Sylfaen"/>
          <w:sz w:val="24"/>
          <w:szCs w:val="24"/>
          <w:lang w:val="en-US"/>
        </w:rPr>
        <w:t>)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გამოთვლილი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დაანგარიშებული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შეწყვიტოს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საცილო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დაჩქარებას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ნეტთანხის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დაანგარიშდება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კვიდატორის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შეწყვიტოს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საცილო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დაჩქარებას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ნეტთანხის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დაანგარიშდება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(18.0</w:t>
      </w:r>
      <w:r>
        <w:rPr>
          <w:rFonts w:ascii="Sylfaen" w:hAnsi="Sylfaen" w:cs="Sylfaen"/>
          <w:sz w:val="20"/>
          <w:szCs w:val="20"/>
          <w:lang w:val="en-US"/>
        </w:rPr>
        <w:t xml:space="preserve">9.2020 N7174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აპრილიდან</w:t>
      </w:r>
      <w:r>
        <w:rPr>
          <w:rFonts w:ascii="Sylfaen" w:hAnsi="Sylfaen" w:cs="Sylfaen"/>
          <w:sz w:val="24"/>
          <w:szCs w:val="24"/>
          <w:lang w:val="en-US"/>
        </w:rPr>
        <w:t>)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დაჩქარებული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სალიკვიდაციო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ჩანაცვლების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დაანგარიშებით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ნეტბალანსს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გადახდისუუნარო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გაქვითვას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ლიკვიდატორს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მეურვეს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ადმინისტრატორს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შემსრულებელ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შეწყვიტოს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გადახდისუუნარო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ჩანაცვლება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გადახდისუუნარო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წარმოეშვა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კრედიტორისთვის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მომტან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მიმნიჭებელ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ნათელი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უტყუარი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გადახდისუუნარო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გადარიცხვა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აიღო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განზრახვით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შეეშალა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დაეყოვნებინა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ოეტყუებინა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გადახდისუუნარო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კრედიტორია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კრედიტორი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7.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</w:t>
      </w:r>
      <w:r>
        <w:rPr>
          <w:rFonts w:ascii="Sylfaen" w:eastAsia="Times New Roman" w:hAnsi="Sylfaen" w:cs="Sylfae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sz w:val="24"/>
          <w:szCs w:val="24"/>
          <w:lang w:val="en-US"/>
        </w:rPr>
        <w:t>1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მორატორიუმი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დააყოვნებს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ლიკვიდატორს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ადმინისტრატორს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</w:t>
      </w:r>
      <w:r>
        <w:rPr>
          <w:rFonts w:ascii="Sylfaen" w:eastAsia="Times New Roman" w:hAnsi="Sylfaen" w:cs="Sylfaen"/>
          <w:sz w:val="24"/>
          <w:szCs w:val="24"/>
          <w:lang w:val="en-US"/>
        </w:rPr>
        <w:t>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შემსრულებელ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შეწყვიტოს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 xml:space="preserve">(18.09.2020 N7174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აპრილიდან</w:t>
      </w:r>
      <w:r>
        <w:rPr>
          <w:rFonts w:ascii="Sylfaen" w:hAnsi="Sylfaen" w:cs="Sylfaen"/>
          <w:sz w:val="24"/>
          <w:szCs w:val="24"/>
          <w:lang w:val="en-US"/>
        </w:rPr>
        <w:t>)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გადახდისუუნარო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ჩანაცვლება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გადახდისუუნარო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წარმოეშვა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კრედიტორისთვის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მომტან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მიმნიჭებელ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ნათელი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უტყუარი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გადახდისუუნარო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გადარიცხვა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აიღო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განზრახვით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შეეშალა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დაეყოვნებინა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მოეტყუებინა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გადახდისუუნარო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კრედიტორია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კრედიტორი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7.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37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მორატორიუმი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დააყოვნებს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(18.09.2020 N7174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აპრილიდან</w:t>
      </w:r>
      <w:r>
        <w:rPr>
          <w:rFonts w:ascii="Sylfaen" w:hAnsi="Sylfaen" w:cs="Sylfaen"/>
          <w:sz w:val="24"/>
          <w:szCs w:val="24"/>
          <w:lang w:val="en-US"/>
        </w:rPr>
        <w:t>)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დაჩქარებისას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გამოსაყენებელ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ავალდებულებს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მრავალფილიალიან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კონტრაჰენ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საკლირინგო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ამხანაგობა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წარმონაქმნი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დერივატივისა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ანგარიშსწორების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საბოლოობა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გამოუთხოვადია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გამოუთხოვადობა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ეგულაციები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ანგარიშგება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III.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გირავნობა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მხარეები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საგანი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დამგირავებელი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კონტრაჰენტი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საკლირინგო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დამგირავებელი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ამხანაგობა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წარმონაქმნი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დატვირთულ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დამგირავებლის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აქტივებისადმი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სამომავლო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დამგირავებელს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დაგირავებული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ნამდვილია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აღსრულებადობა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საეჭვოს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ნამდვილობას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აღსრულებადობას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რეზოლუციის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ჯეროვნად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ალდებულებებს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ნაწილიცაა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რეზოლუციის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დააწესოს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ნამდვილობა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აკონტროლებდეს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აკონტრ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წარმომდგენზე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რეგისტრატორში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გახსნილ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ჩარიცხვით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გახსნილ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ჩარიცხვით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თანაბარმნიშვნელოვანი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მოსაწესრიგებლად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დამგირავებელი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გაასხვისოს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დააგირაოს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მესაკუთრემ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დამგირავებელს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ნამდვილობისათვის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აღსრულებადობისათვის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დასაშვებადობისათვის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მარეგისტრირებელ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თარგმნა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დამგირავებელს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დაგირავებული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კრედიტორებთან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აღსრულება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შემდეგნაირად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დაფარვისთვის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დაფარვისთვის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დაფარვისთვის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შეთანხმდნენ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შეთანხმდნენ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გაგზავნა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საზედამხედვ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(18.09.2020 N7174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აპრილიდან</w:t>
      </w:r>
      <w:r>
        <w:rPr>
          <w:rFonts w:ascii="Sylfaen" w:hAnsi="Sylfaen" w:cs="Sylfaen"/>
          <w:sz w:val="24"/>
          <w:szCs w:val="24"/>
          <w:lang w:val="en-US"/>
        </w:rPr>
        <w:t>)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დამგირავებლის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გამოსაყენებელ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ავალდებულებს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გამოანგარიშება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დამგირავებელს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დაფარვისთვის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კრედიტორისთვის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ხელშეკრულებაში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გაზრდა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შემცირება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ჩანაცვლება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ჩაანაცვლოს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პირვანდელი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გაქვითოს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პირვანდელი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დამგირავებელმა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ჩაანაცვლოს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პირვანდელი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დამგირავებლის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გაზარდოს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შეამციროს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ჩაანაცვლოს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აკონტროლებდეს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დამგირავებელს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დაუბრუნოს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დაგირავებული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ვალუტით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ჩანაცვლება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გადახდისუუნარობის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აკრძალვა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ნხორციელდა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მოვლენაზე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წარმოიშვა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ციელდა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იცოდა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შეიძლებოდა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სცოდნოდა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გამოთხოვას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ჩანაცვლების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არმქონედ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მოვლენაზე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 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წარმოიშვა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ჩანაცვლებამდე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გამოყენება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მოწესრიგდეს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გახსნილი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უგულებელყოფს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მიუთითებს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სანივთო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გადაიფარა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დაექვემდებარა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კეთილსინდისიერმა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შემძენმა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დებულება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მოგირავნე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დამგირავებელი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დაგირავებული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N5672-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F15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15C57"/>
    <w:rsid w:val="00F1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7436</Words>
  <Characters>42388</Characters>
  <Application>Microsoft Office Word</Application>
  <DocSecurity>0</DocSecurity>
  <Lines>353</Lines>
  <Paragraphs>99</Paragraphs>
  <ScaleCrop>false</ScaleCrop>
  <Company/>
  <LinksUpToDate>false</LinksUpToDate>
  <CharactersWithSpaces>49725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