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05F7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43C9B04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413AA77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ბავშვთა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ახალგაზრდული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მხარდაჭერის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417F720B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146EF87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№25(32),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124)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95FFE96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2B69396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1148CC31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0CE4074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 </w:t>
      </w:r>
    </w:p>
    <w:p w14:paraId="738B7502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814C9E2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 </w:t>
      </w:r>
    </w:p>
    <w:p w14:paraId="6091BC31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სემინარები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1ED7C84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 </w:t>
      </w:r>
    </w:p>
    <w:p w14:paraId="1ECEB031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A4A1247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 </w:t>
      </w:r>
    </w:p>
    <w:p w14:paraId="06AC1CC4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3D83F22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 </w:t>
      </w:r>
    </w:p>
    <w:p w14:paraId="69FAAA1B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სათათბი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505CB4D6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F924638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 </w:t>
      </w:r>
    </w:p>
    <w:p w14:paraId="799C88F7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053F5588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</w:t>
      </w:r>
    </w:p>
    <w:p w14:paraId="69C1082A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D631138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C9862A4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D0D0A7E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858403E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N33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7CA55466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DA3D100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095E842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1FBFE2C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B52C1CA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ჩაითვალონ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შეუნარჩუნდეთ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0E13A20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B7FAC01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BF655B1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04422B0A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979D9E6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2A94065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­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21835A3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5CE8AFA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FB66DB7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49BD79B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09AB0BC9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01EFD386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68926351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2F8F7A3" w14:textId="77777777" w:rsidR="00000000" w:rsidRDefault="0059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N4615-II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3441178F" w14:textId="77777777" w:rsidR="00000000" w:rsidRDefault="0059607C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607C"/>
    <w:rsid w:val="005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6367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Base>C:\Users\Codex\AppData\Local\Temp\637517368546360267\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