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398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6548D5D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3641A01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დეპოზიტების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დაზღვევის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სისტემის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0EA717D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 w:cs="Sylfaen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</w:p>
    <w:p w14:paraId="3B49DD7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color w:val="000000"/>
          <w:sz w:val="24"/>
          <w:szCs w:val="24"/>
          <w:lang w:val="en-US"/>
        </w:rPr>
      </w:pPr>
    </w:p>
    <w:p w14:paraId="1BC1A93F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bookmarkStart w:id="0" w:name="h.btczyadk98he"/>
      <w:bookmarkEnd w:id="0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I</w:t>
      </w:r>
    </w:p>
    <w:p w14:paraId="6F86A44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დებულებები</w:t>
      </w:r>
    </w:p>
    <w:p w14:paraId="1B587808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color w:val="000000"/>
          <w:sz w:val="24"/>
          <w:szCs w:val="24"/>
          <w:lang w:val="en-US"/>
        </w:rPr>
      </w:pPr>
    </w:p>
    <w:p w14:paraId="2C018EB8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en-US"/>
        </w:rPr>
      </w:pPr>
      <w:bookmarkStart w:id="1" w:name="h.vxgaywa4iv69"/>
      <w:bookmarkEnd w:id="1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სფერო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მიზანი</w:t>
      </w:r>
    </w:p>
    <w:p w14:paraId="52CCEB1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ადმინისტრირების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საფუძვლებს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14:paraId="1A634DFC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6EB38FB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დადგომისას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ანაზღაურება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ბანკების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ნდობის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ამაღლება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დანაზოგების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წახალისე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საფინანსო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მდგრადობის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14:paraId="799D512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323232"/>
          <w:sz w:val="40"/>
          <w:szCs w:val="40"/>
          <w:lang w:eastAsia="x-none"/>
        </w:rPr>
      </w:pPr>
      <w:bookmarkStart w:id="2" w:name="h.prhnnntj9z48"/>
      <w:bookmarkEnd w:id="2"/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კომერციულ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დადგომისას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დეპოზიტორების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თვის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დაზღვეული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დეპოზიტების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ნდობის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ამაღლება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დანაზოგების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წახალისება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მდგრადობის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ხელშეწყობა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323232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233EE76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323232"/>
          <w:sz w:val="24"/>
          <w:szCs w:val="24"/>
          <w:lang w:eastAsia="x-none"/>
        </w:rPr>
      </w:pPr>
    </w:p>
    <w:p w14:paraId="3F40816F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განმარტებ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</w:p>
    <w:p w14:paraId="28B2547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5C5E5A1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2AB281B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D280CA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2479FFB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დეპოზიტორი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ფიზიკური</w:t>
      </w:r>
      <w:r>
        <w:rPr>
          <w:rFonts w:ascii="Sylfaen" w:hAnsi="Sylfaen" w:cs="Sylfaen"/>
          <w:color w:val="32323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ორგანიზაციული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წარმონაქმნი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lastRenderedPageBreak/>
        <w:t>იურიდიული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კომერცი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ულ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დეპოზიტი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;</w:t>
      </w:r>
      <w:r>
        <w:rPr>
          <w:rFonts w:ascii="Sylfaen" w:hAnsi="Sylfaen" w:cs="Sylfaen"/>
          <w:color w:val="323232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7754E1C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დეპოზიტი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დეპოზიტორის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ანგარიშზე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რიცხული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თანხები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ვადიანი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დეპოზიტი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მოთხოვნამდე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დეპოზიტი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გადაიხადოს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კომერციულმა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ბანკმა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დეპოზიტორ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ფულის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სანაცვლოდ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სახსრები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დეპოზიტი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;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0E66939F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დაუზღვეველი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თანახმა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039E5D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8337A5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დაზღვეული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დეპოზიტი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დეპოზიტი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ანაზღაურებს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დეპოზიტების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დადგომისას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ზღვრის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;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09E8500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დეპოზიტორებისთვის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ასანაზღაურებლად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3052741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დაწყება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663C202B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შემთხვევა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– „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ლიკვიდაციის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დაწყება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;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2BAB09F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ზღვარი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5BA9CAE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BD9E40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თვალყურეო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110D876F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lastRenderedPageBreak/>
        <w:t>(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სამეთვალყურეო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) –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ირის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დეპოზიტების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სამეთვალყურეო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;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4F116B3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ინსტიტუტი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საქმიანობაა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სადაზ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გადამზღვეველი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საფონდო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ბირჟის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დეპოზიტარის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დეპოზიტარის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საბროკერო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კავშირის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კომპანიი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პროვაიდერის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6A4AF82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591F65A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  <w:bCs/>
          <w:color w:val="000000"/>
          <w:sz w:val="24"/>
          <w:szCs w:val="24"/>
          <w:lang w:val="ka-GE" w:eastAsia="ka-GE"/>
        </w:rPr>
      </w:pPr>
      <w:bookmarkStart w:id="3" w:name="h.6jz7cwl9t3cc"/>
      <w:bookmarkEnd w:id="3"/>
    </w:p>
    <w:p w14:paraId="248AD3C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center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II </w:t>
      </w:r>
    </w:p>
    <w:p w14:paraId="7CEBC15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center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</w:p>
    <w:p w14:paraId="7B6572C8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center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7DF161C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bookmarkStart w:id="4" w:name="h.f6b8gzmc04yg"/>
      <w:bookmarkEnd w:id="4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</w:p>
    <w:p w14:paraId="3042257B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).</w:t>
      </w:r>
    </w:p>
    <w:p w14:paraId="74A4AD1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მზღვეველისათვის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6C90F0D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ყოველდღიურ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ოპერაციებსა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ჩაერიოს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0F737B3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სახაზინო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sz w:val="24"/>
          <w:szCs w:val="24"/>
          <w:lang w:val="ka-GE" w:eastAsia="ka-GE"/>
        </w:rPr>
        <w:t>ბანკში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ბეჭედი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გამოსახულებითა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სახელწოდებით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ბუღალტრულ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აღრიცხვასა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5C4B89A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სახსრები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სახაზინო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ბეჭედი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გერბის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გამოსახულებითა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სახელწოდებით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ბუღალტრულ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აღრიცხვასა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ანგარიშგებას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ახორციელებს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კანონმდებლობისა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ანგარიშგების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სტანდარტების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სახსრებ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ჰქონდეს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58EBE7B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დებულებისა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6D25257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ყოფილ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ქმედებისთვის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ჩადენისგან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51BBCE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542A7588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განრიგი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7BEBC22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განრიგის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დამტკიცებისას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პრაქტიკა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color w:val="000000"/>
          <w:sz w:val="24"/>
          <w:szCs w:val="24"/>
          <w:lang w:val="en-US"/>
        </w:rPr>
        <w:tab/>
      </w:r>
    </w:p>
    <w:p w14:paraId="1E84A458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სტრუქტურა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მტკიცდება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საბჭოსთან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უფროსის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სამართლებრ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ივი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აქტით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უფლებამოსილება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61A18AC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განრიგი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თანამდებობრივი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სარგო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ები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ბიუჯეტი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მტკ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იცდება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323232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0D55C0B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განრიგის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თანამდებობრივი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სარგო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დამტკიცებისას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პრაქტიკა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2DCF372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იძენს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გარიგებებს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გამოვიდეს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მოსარჩელედ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მოპასუხედ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0184752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მოსაკრებლისა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ბაჟისაგან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518EBDF8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ეჭვი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გაიზარდა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6C1AAF6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პარლამენტსა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56C805B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528F3A2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bookmarkStart w:id="5" w:name="h.aoodef9te1j6"/>
      <w:bookmarkEnd w:id="5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მოვალეობები</w:t>
      </w:r>
    </w:p>
    <w:p w14:paraId="5BB5F43B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6E67590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0DCEE9A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55E5DD5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6E6A401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მართოს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7D2A274B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დეტალურად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 </w:t>
      </w:r>
    </w:p>
    <w:p w14:paraId="5532603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ბანკისგან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დრო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ულად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დეტალურად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ინსტრუქციით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;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08A1A3C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გაცვალოს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3C13D61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6008116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ზუსტი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30919F3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ლიკვიდაციის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მიმდინარეობისას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დროულად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ზუ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სტი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;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5D95332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კლიენტებისთვის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3FD75D6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ფორმატით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4426AE7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გადაამოწმოს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დისტანციურად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ab/>
        <w:t xml:space="preserve"> </w:t>
      </w:r>
    </w:p>
    <w:p w14:paraId="1AFF6BE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ლ</w:t>
      </w:r>
      <w:r>
        <w:rPr>
          <w:rFonts w:ascii="Sylfaen" w:hAnsi="Sylfaen" w:cs="Sylfaen"/>
          <w:color w:val="000000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ინფორმაცია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გადაამოწმოს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დისტანც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იურად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გარე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აუდიტორის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;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53DBA65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გრანტები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დახმარებები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2C88D8C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სტაბილ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ჯგუფებში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8F22D1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ნ</w:t>
      </w:r>
      <w:r>
        <w:rPr>
          <w:rFonts w:ascii="Sylfaen" w:hAnsi="Sylfaen" w:cs="Sylfaen"/>
          <w:color w:val="323232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რეპო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ოპერაცია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კომერციულ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ბანკთან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;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1DB834BB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3ECBA2F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ბამოსილებების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25374D4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აკუმულირება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559B453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საჭიროება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მოზიდვა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40BB85A8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750351B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მენეჯმენტი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B63224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კრიზისების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პოლიტიკა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წარმოქმნილ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რისკებზე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ეფექტიან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452742E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ოპერატიულად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სიმულაცია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0E3F7A5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ab/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ab/>
      </w:r>
    </w:p>
    <w:p w14:paraId="3444C88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bookmarkStart w:id="6" w:name="h.7sc2u6qu1jxz"/>
      <w:bookmarkEnd w:id="6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მართვა</w:t>
      </w:r>
    </w:p>
    <w:p w14:paraId="4DCCA42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3EC1405C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16CED00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საბჭოს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შემადგენლობა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170E944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</w:p>
    <w:p w14:paraId="255A259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bookmarkStart w:id="7" w:name="h.u1zv1omjs5g2"/>
      <w:bookmarkEnd w:id="7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უფროსი</w:t>
      </w:r>
    </w:p>
    <w:p w14:paraId="0E607FC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თანამდებობიდა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2713979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დასანიშნი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შეირჩევა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კონკურსით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35AA631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ამოწურვის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64A7C21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12CDE5AB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7FF0878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დარგში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 </w:t>
      </w:r>
    </w:p>
    <w:p w14:paraId="498BCE3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372BFD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დათხოვნ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არაჯეროვანი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3435725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მიუკერძოებელი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პატიოსანი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017157E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7445943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2C53689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კონსენსუს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); </w:t>
      </w:r>
    </w:p>
    <w:p w14:paraId="16DFEB7B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 </w:t>
      </w:r>
    </w:p>
    <w:p w14:paraId="27598EDF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 </w:t>
      </w:r>
    </w:p>
    <w:p w14:paraId="31CADBE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4E62ED0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 </w:t>
      </w:r>
    </w:p>
    <w:p w14:paraId="442D1E8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 </w:t>
      </w:r>
    </w:p>
    <w:p w14:paraId="11F834B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14:paraId="7A0A77D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7EA4518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საქმიანობასა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00D809B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7AF8DC4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3827C89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ამოწურვის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დეფიციტის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მოზიდვის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ონისძიებებს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6946453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47D9D69F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კვარტალურ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0B0B7FD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ამზადებს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წლიურ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ნგარიშს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;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5333E1B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0866694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5BE13C5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საბჭოსთან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შეთანხმებით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სამარ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შენატანის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ოდენობას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ოდენობისა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;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6AD5430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127A3B5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764253FC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განრიგს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699CE84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სტრუქტურას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განრიგს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თანამდებობრივ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სარგო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ბიუჯეტს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;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4387BDD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პოლიტიკას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498AB6F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699A4E7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დაანგარიშების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5FC012A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რისკზე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მეთოდოლოგიას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6699579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რისკზე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23C1B5B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პერიოდულობასა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5964E50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0EB221B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კლიენტებისთვის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62C3645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7CECF35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293FF7A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60C40D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6F20786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4BB7203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B5CBFD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0397D38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bookmarkStart w:id="8" w:name="h.wsd7dmgg9k4d"/>
      <w:bookmarkEnd w:id="8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შემადგენლობა</w:t>
      </w:r>
    </w:p>
    <w:p w14:paraId="7885917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1.</w:t>
      </w:r>
      <w:r>
        <w:rPr>
          <w:rFonts w:ascii="Sylfaen" w:hAnsi="Sylfaen" w:cs="Sylfaen"/>
          <w:b/>
          <w:bCs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წევრისაგან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3729ED4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მიუკერძოებელი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კონფლიქტი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5E7F8F7B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ირჩევენ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ხმათა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უბრალო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კენჭისყრას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5EB05CB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ასარჩევი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დროსა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აცნ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ობებს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თარიღამდე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2EE1BC1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კენჭისყრა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არჩევაში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დგენლები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კენჭისყრა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ჩატარდება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2/3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24F874A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ასარჩევ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გამარჯვებულად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6A9FDF0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ამოუკიდებელი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ასარჩევ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კენჭისყრა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123C819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ამოწურვის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36433F9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4CEC3CC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როტაციის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პრინციპით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თავმჯდომარეობენ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ნვითარების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1DE3A65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170EC2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241FCBB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72D6EC8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მოვალეობები</w:t>
      </w:r>
    </w:p>
    <w:p w14:paraId="3A3C774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</w:p>
    <w:p w14:paraId="3CB85A8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077592F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ითანხმებს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4493976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განრიგს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6D23E81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სტრუქტურას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აშტატო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განრიგს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თანამდებობრივ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სარგო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ბიუჯეტს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;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158B918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პოლიტიკას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2659989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563ECDF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დაანგარიშების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426F532B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რისკზე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მეთოდოლოგიას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43D6707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რისკზე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4A44E0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პერიოდულობასა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7E525E7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38FF326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კლიენტებისთვის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313E842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466065A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7B283B7C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517F0E5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256EB9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2B99BA1B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ამოწურვის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დეფიციტის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ითანხმებს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მოზიდვ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4385700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ითანხმებს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კვარტალურ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ანგარიშებს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7126BA2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იხილავს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ითანხმებს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უფროსის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წარდგენილ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საქმიანობის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წლიურ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;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75C0DB5C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ითანხმებს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02AC4D3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ითანხმებს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271BD788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იქ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ნეს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323232"/>
          <w:sz w:val="20"/>
          <w:szCs w:val="20"/>
          <w:lang w:val="ka-GE" w:eastAsia="ka-GE"/>
        </w:rPr>
        <w:t xml:space="preserve">(28.04.2021. </w:t>
      </w:r>
      <w:r>
        <w:rPr>
          <w:rFonts w:ascii="Sylfaen" w:eastAsia="Times New Roman" w:hAnsi="Sylfaen" w:cs="Sylfaen"/>
          <w:b/>
          <w:bCs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b/>
          <w:b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722842F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0D9ED8C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1EFF1B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სხდომა</w:t>
      </w:r>
    </w:p>
    <w:p w14:paraId="0D199B28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კვარტა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2A62098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0E152CA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2. 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სხდომას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უფროსის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ჭოს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2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5D5EF8F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1F8287C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6D9ED76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წესრიგი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მიეწოდოს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თარიღამდე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ab/>
      </w:r>
    </w:p>
    <w:p w14:paraId="01BA273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გადაწყვეტილებაუნარიანია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5D7E530C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ხმათა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უბრალო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გაყოფის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გადამწყვეტია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5244E1C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დაესწრონ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379782A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ჩატარდეს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4A7B892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ოქმით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004939CB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143AE31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000000"/>
          <w:sz w:val="24"/>
          <w:szCs w:val="24"/>
          <w:lang w:val="en-US"/>
        </w:rPr>
      </w:pPr>
      <w:bookmarkStart w:id="9" w:name="h.clzejbqvi78x"/>
      <w:bookmarkEnd w:id="9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კონფლიქტი</w:t>
      </w:r>
    </w:p>
    <w:p w14:paraId="322586C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უფროსსა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მფლობელები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დირექტორატის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B03758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უფროსსა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მიიღონ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სიკეთე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შეღავათი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რომლებთანაც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ახლონათესაური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5748201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05039BC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center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III </w:t>
      </w:r>
    </w:p>
    <w:p w14:paraId="767CB69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center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</w:t>
      </w:r>
    </w:p>
    <w:p w14:paraId="2976157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color w:val="000000"/>
          <w:sz w:val="24"/>
          <w:szCs w:val="24"/>
          <w:lang w:val="ka-GE" w:eastAsia="ka-GE"/>
        </w:rPr>
      </w:pPr>
    </w:p>
    <w:p w14:paraId="3221BF0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bookmarkStart w:id="10" w:name="h.lokxncmudniw"/>
      <w:bookmarkEnd w:id="10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წყა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დანიშნულება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</w:t>
      </w:r>
    </w:p>
    <w:p w14:paraId="53A98E9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წყაროებისგან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</w:p>
    <w:p w14:paraId="2ACFE8AF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051E536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7772310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72CF52CC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6A84F2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აქტივებიდან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51F0519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0B762AC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F54CF5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ფუნქციონირებასთან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</w:p>
    <w:p w14:paraId="03A41B4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ფონდი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გამოყე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ნებულ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ფონდიდან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ფინანსდება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ფუნქციონირებასთან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ბიუჯეტით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  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სესხების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მომსახურებ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დეპოზიტორთა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თვის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გაცემ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თან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დაკავშირებუ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49B702E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აკუმულირებულმა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თანხებმა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მიაღწიოს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მიზნობრივ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6%-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0CF733C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028A4DA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bookmarkStart w:id="11" w:name="h.rcjadz57l4hy"/>
      <w:bookmarkEnd w:id="11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ნატანი</w:t>
      </w:r>
    </w:p>
    <w:p w14:paraId="0ED2033F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100 000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29D339D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275FCA0C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20D7046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</w:t>
      </w:r>
    </w:p>
    <w:p w14:paraId="73CFC4CB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</w:p>
    <w:p w14:paraId="04BD8B7F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769D426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 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ვალუტით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0.067%-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0A095D4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 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ვალუტით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0.1%-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244B7FE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არაუგვი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7F775D7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რეგულარულ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ვალუტით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კურსით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214AA608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რეგულარულ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სად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აზღვევო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შენატანს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იხდის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ვალუტით</w:t>
      </w:r>
      <w:r>
        <w:rPr>
          <w:rFonts w:ascii="Sylfaen" w:hAnsi="Sylfaen" w:cs="Sylfaen"/>
          <w:color w:val="323232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გაცვლითი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კურსით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ინსტრუქციის</w:t>
      </w:r>
      <w:r>
        <w:rPr>
          <w:rFonts w:ascii="Sylfaen" w:hAnsi="Sylfaen" w:cs="Sylfaen"/>
          <w:color w:val="32323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თანახმად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47D0531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სექტემბრისა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ალიზის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1E10F04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ab/>
      </w:r>
      <w:r>
        <w:rPr>
          <w:b/>
          <w:bCs/>
          <w:color w:val="000000"/>
          <w:sz w:val="24"/>
          <w:szCs w:val="24"/>
          <w:lang w:val="en-US"/>
        </w:rPr>
        <w:tab/>
      </w:r>
    </w:p>
    <w:p w14:paraId="0ADD9EFF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bookmarkStart w:id="12" w:name="h.d2f7ga2ob46x"/>
      <w:bookmarkEnd w:id="12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</w:t>
      </w:r>
    </w:p>
    <w:p w14:paraId="732944A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ასანაზღაურებლად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დაუწესოს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მოცულო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1%-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113B6DFF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მობილიზაციის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ასანაზღაურებლად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მოიზიდოს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2FF7937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ისესხოს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ინსტიტუტებისაგან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47E0650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ისესხოს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ბანკისაგან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069013D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ისესხოს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მთავრობისაგან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6054BF5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ქაღა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ლდები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2E3E6AD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მოიძიოს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წყაროები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2B949C7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7F4307BF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98D230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color w:val="000000"/>
          <w:sz w:val="24"/>
          <w:szCs w:val="24"/>
          <w:lang w:val="en-US"/>
        </w:rPr>
        <w:tab/>
      </w:r>
    </w:p>
    <w:p w14:paraId="468561B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bookmarkStart w:id="13" w:name="h.uj8yjjezzswd"/>
      <w:bookmarkEnd w:id="13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ინვესტირება</w:t>
      </w:r>
    </w:p>
    <w:p w14:paraId="06037138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ინვესტირებას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პოლიტიკისა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D1B37D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დაცულობისა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ლიკვ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იდურობის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ინვესტირება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დაბალრისკიან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აქტივებში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283A7D1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დენომინირებული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სავალო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ქაღალდები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 </w:t>
      </w:r>
    </w:p>
    <w:p w14:paraId="66DE8FFC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0346973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ევროპის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თანამშრომლობისა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სუპრანაციონალური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ფიქსირ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ქაღალდები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სავალო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ინსტრუმენტები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6238BD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ინვესტირებას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დივერსიფიკაციის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ლიკვიდურობის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5CB9A5A8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ინვესტირების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სახაზინო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5914FEF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5870B6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bookmarkStart w:id="14" w:name="h.jk9pf8v6292m"/>
      <w:bookmarkEnd w:id="14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IV </w:t>
      </w:r>
    </w:p>
    <w:p w14:paraId="78CD199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</w:p>
    <w:p w14:paraId="6F5B0E3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პროცედურები</w:t>
      </w:r>
    </w:p>
    <w:p w14:paraId="133D50E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3254E68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bookmarkStart w:id="15" w:name="h.8i3bsrpwvrz0"/>
      <w:bookmarkEnd w:id="15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14:paraId="7E1C057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პრაქტიკასთან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ზღვრ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გაზრდის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ab/>
      </w:r>
    </w:p>
    <w:p w14:paraId="140A397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პერიოდულად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ზღვრის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სტანდარტებ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პრაქტიკასთან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ანალიზს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 (28.04.2021.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674C3E1C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>1</w:t>
      </w:r>
      <w:r>
        <w:rPr>
          <w:rFonts w:ascii="Sylfaen" w:hAnsi="Sylfaen" w:cs="Sylfaen"/>
          <w:color w:val="000000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საბჭოსთან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ზღვრის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უფროსის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აქტით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ფორმდება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72F79FDF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გაზრდის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სტაბილ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20BD16D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1121EE1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bookmarkStart w:id="16" w:name="h.atp1o5jqpy1a"/>
      <w:bookmarkEnd w:id="16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გაანგარიშება</w:t>
      </w:r>
    </w:p>
    <w:p w14:paraId="5DB7430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ვალუტი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5A93C54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დეპოზიტორს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დაზღვეული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დეპოზიტი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კომერციულ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დეპოზიტების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რაოდენობის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ვალუტის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დადგომისას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უფროსის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ზღვრის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7204FFAC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ვალუტით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აუნაზღაურდება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ვალუტით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გაიანგარიშება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ვალუტით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კურსით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4D16E7B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ოზიტორისათვის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დასაზღვევი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ნაშთების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შეკრებით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31884E6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დაზღვეული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დეპოზიტის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დეპოზიტორისთვის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კომერციულ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ანკში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დაზღვეული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დეპოზიტის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ნაშთების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შეკრებით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დადგომის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მომენტისთვის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დარიცხული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პროცენტის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5534D0EF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ცალ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ცალკეა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664042E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შერწყმის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შერწყმიდან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შერწყმამდე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ცალ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A538F3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ურთიერთგაქვითვას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A99E5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შერწყმის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შერწყმიდან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     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6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დადგომისას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დეპოზიტორს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შერწყმამდე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თითოეულ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ზღვრის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დეპოზიტ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ცალ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ცალკე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უფროსის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ინსტრუქციის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402BA73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დეპოზიტორისთვის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ასანაზღაურებელი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გაიანგარიშება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დადგომის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დღისთვი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ვადამოსული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გამოკლებით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65BB241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63F31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</w:p>
    <w:p w14:paraId="3071EC2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bookmarkStart w:id="17" w:name="h.inat83xmmnfx"/>
      <w:bookmarkEnd w:id="17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დაუზღვეველი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</w:t>
      </w:r>
    </w:p>
    <w:p w14:paraId="1D7CBD5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5578055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ადმინისტრატორების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78720C4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5%-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4A4D338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0EBE2C6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</w:t>
      </w:r>
      <w:r>
        <w:rPr>
          <w:rFonts w:ascii="Sylfaen" w:hAnsi="Sylfaen" w:cs="Sylfaen"/>
          <w:color w:val="323232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ინსტიტუტის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იტები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30B9BF3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ახორციელებდნენ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ab/>
      </w:r>
    </w:p>
    <w:p w14:paraId="60E94E0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განთავ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იდენტიფიცირებაც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7162A94C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ახმად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შეზღუდულია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7105AB2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დეპოზიტები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0183588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000000"/>
          <w:sz w:val="24"/>
          <w:szCs w:val="24"/>
          <w:lang w:val="en-US"/>
        </w:rPr>
      </w:pPr>
    </w:p>
    <w:p w14:paraId="26E7DB6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bookmarkStart w:id="18" w:name="h.bd14xmuhndfu"/>
      <w:bookmarkEnd w:id="18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პროცედურები</w:t>
      </w:r>
    </w:p>
    <w:p w14:paraId="27D9E12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ემდეგ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ვებგვერდისა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ბეჭდვითი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6C9E8FFB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1A06825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ვა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ლდებულია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დადგომის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დეპოზიტორებს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ელექტრონულად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თავისი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ვებგვერდისა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ბეჭდვითი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გამოცემის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დადგომა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</w:t>
      </w:r>
      <w:r>
        <w:rPr>
          <w:rFonts w:ascii="Sylfaen" w:hAnsi="Sylfaen" w:cs="Sylfaen"/>
          <w:color w:val="32323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მათთვის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323232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06C2FFE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ანაზღაურებას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წინასწარ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შერჩეული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აგენტი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შეარჩიოს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აგენტი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დეპოზიტორთა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თვის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გახსნას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ანგარიშები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დეპოზიტორთა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თვის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აგენტი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წესი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განისაზღვრება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ორგანიზების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წესრიგდება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ინსტრუქციი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01E0E30B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ლიკვიდატორი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დადგომიდან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ელექტრონულად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დაზღვეულ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დეპოზიტორთა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შემთხვევ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დადგომის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მდგომარეობით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-18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გამოგზავნის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2B72DC7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გაანგარიშება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ab/>
        <w:t xml:space="preserve"> </w:t>
      </w:r>
    </w:p>
    <w:p w14:paraId="70806EF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0A2CD66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bookmarkStart w:id="19" w:name="h.qvuxhdgp83dz"/>
      <w:bookmarkEnd w:id="19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ვალდებულებები</w:t>
      </w:r>
    </w:p>
    <w:p w14:paraId="75296EB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პოზიტორზე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შემცირდება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5188C7F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გაიზრდება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ხარჯებით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გასწია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076BD07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თხვევის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კრედიტორია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4E28D2CC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rFonts w:ascii="Sylfaen" w:hAnsi="Sylfaen" w:cs="Sylfaen"/>
          <w:b/>
          <w:bCs/>
          <w:color w:val="000000"/>
          <w:sz w:val="24"/>
          <w:szCs w:val="24"/>
          <w:lang w:val="ka-GE" w:eastAsia="ka-GE"/>
        </w:rPr>
      </w:pPr>
    </w:p>
    <w:p w14:paraId="0F2BC21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rFonts w:ascii="Sylfaen" w:hAnsi="Sylfaen" w:cs="Sylfaen"/>
          <w:b/>
          <w:bCs/>
          <w:color w:val="000000"/>
          <w:sz w:val="24"/>
          <w:szCs w:val="24"/>
          <w:lang w:val="ka-GE" w:eastAsia="ka-GE"/>
        </w:rPr>
      </w:pPr>
    </w:p>
    <w:p w14:paraId="1CC1A80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V </w:t>
      </w:r>
    </w:p>
    <w:p w14:paraId="4C56D1F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გამჭვირვალობა</w:t>
      </w:r>
    </w:p>
    <w:p w14:paraId="39C1623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4AE0E8DD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bookmarkStart w:id="20" w:name="h.d7eaqjz88n65"/>
      <w:bookmarkEnd w:id="20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დეპოზიტორებისთვის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</w:p>
    <w:p w14:paraId="315231D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აკუმულირებული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კვარტალური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394DD60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en-US"/>
        </w:rPr>
      </w:pP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ელექტრონულად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გამოაქვეყნოს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დეპოზიტების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ბანკების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ინფორმაცი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ფონდში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აკუმულირებული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თანხების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საქმიანობის</w:t>
      </w:r>
      <w:r>
        <w:rPr>
          <w:rFonts w:ascii="Sylfaen" w:hAnsi="Sylfaen" w:cs="Sylfaen"/>
          <w:color w:val="32323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წლიური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დებულება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ინსტრუქცი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წლიური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ბიუჯეტი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აუდიტორის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7A1784E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პოტენციურ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დაუზღვეველი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7351A57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3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1E46D96C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სუბიექტებსა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დაუშვან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ვინმე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გათქვან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გაავრცელონ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1F0FC77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კლიენტების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3B6337A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bookmarkStart w:id="21" w:name="h.r49jdoreaxu0"/>
      <w:bookmarkEnd w:id="21"/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სააგენტოში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ბან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კლიენტის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შესასრულებლად</w:t>
      </w:r>
      <w:r>
        <w:rPr>
          <w:rFonts w:ascii="Sylfaen" w:hAnsi="Sylfaen" w:cs="Sylfaen"/>
          <w:color w:val="32323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გადაეცეს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ბანკს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შესაბამის</w:t>
      </w:r>
      <w:r>
        <w:rPr>
          <w:rFonts w:ascii="Sylfaen" w:hAnsi="Sylfaen" w:cs="Sylfaen"/>
          <w:color w:val="32323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val="ka-GE" w:eastAsia="ka-GE"/>
        </w:rPr>
        <w:t>ბანკს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color w:val="323232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აგენტ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ბანკს</w:t>
      </w:r>
      <w:r>
        <w:rPr>
          <w:rFonts w:ascii="Sylfaen" w:hAnsi="Sylfaen" w:cs="Sylfaen"/>
          <w:color w:val="323232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სტაბილურობის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უწყებათაშორი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კომიტეტს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წევრიც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უფროსი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685A05CF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</w:p>
    <w:p w14:paraId="609DCCBC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აუდიტი</w:t>
      </w:r>
    </w:p>
    <w:p w14:paraId="20C42FC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ოპერა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ციებისა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დებულებისა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სანდოობისა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 </w:t>
      </w:r>
    </w:p>
    <w:p w14:paraId="216992D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6A33797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აუდიტორულ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ფირმას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ბუღალტრუ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ანგარიშგებისა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გაიარა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ანგარიშგებისა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დაინტერესების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ორციელებისათვის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53C7433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color w:val="000000"/>
          <w:sz w:val="36"/>
          <w:szCs w:val="36"/>
          <w:lang w:val="ka-GE" w:eastAsia="ka-GE"/>
        </w:rPr>
        <w:t>(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ოპერაციებისა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დებულებისა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ინსტრუქციის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თანახმად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აუდიტი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მმართველობი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რისკის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ქმედითობის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საბუღალტრო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ინფორმაცი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კანონმდებლობასთან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ფასებ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1E695F6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ანგარიშგების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აუდიტს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შეფასებას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ყოველწლიურად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შესაბამისად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შერჩე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ული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გარე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აუდიტორი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4B7ED46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36"/>
          <w:szCs w:val="36"/>
          <w:lang w:val="en-US"/>
        </w:rPr>
      </w:pPr>
      <w:r>
        <w:rPr>
          <w:rFonts w:ascii="Sylfaen" w:hAnsi="Sylfaen" w:cs="Sylfaen"/>
          <w:color w:val="323232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სააგენტოსთვის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გარეაუდიტორული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გაწევის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უფლებ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აუდიტორულ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ფირმას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ბუღალტრული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ანგარიშგებისა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გაიარა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ბუღალტრული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ანგარიშგებისა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დაინტერესები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ანგარიშგების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განხორციელებისთვის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მოთხოვნილი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მონიტორინგი</w:t>
      </w:r>
      <w:r>
        <w:rPr>
          <w:rFonts w:ascii="Sylfaen" w:eastAsia="Times New Roman" w:hAnsi="Sylfaen" w:cs="Sylfaen"/>
          <w:color w:val="323232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color w:val="323232"/>
          <w:sz w:val="20"/>
          <w:szCs w:val="20"/>
          <w:lang w:val="ka-GE" w:eastAsia="ka-GE"/>
        </w:rPr>
        <w:t xml:space="preserve">28.04.2021. </w:t>
      </w:r>
      <w:r>
        <w:rPr>
          <w:rFonts w:ascii="Sylfaen" w:eastAsia="Times New Roman" w:hAnsi="Sylfaen" w:cs="Sylfaen"/>
          <w:color w:val="323232"/>
          <w:sz w:val="20"/>
          <w:szCs w:val="20"/>
          <w:lang w:val="ka-GE" w:eastAsia="ka-GE"/>
        </w:rPr>
        <w:t xml:space="preserve">№473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  <w:t>)</w:t>
      </w:r>
    </w:p>
    <w:p w14:paraId="5BA669C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ქვეყ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1A34B74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bookmarkStart w:id="22" w:name="h.5082fnujawtn"/>
      <w:bookmarkEnd w:id="22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სანქციები</w:t>
      </w:r>
    </w:p>
    <w:p w14:paraId="736823A3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გამოვლენისას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სანქციები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7D2C264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21C5CB50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დააკისროს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სანქცია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3C157B3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სანქცია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1F253EA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დეპოზიტორებს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მიაწვდის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72E0892B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ზუსტ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10 000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2AFB18E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გადაიხდის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რეგულარულ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0.06%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7DF821EC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თანხმდება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333A552B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აკისრებული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5FE224F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შესრულებისაგან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01B1097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C5367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color w:val="000000"/>
          <w:sz w:val="24"/>
          <w:szCs w:val="24"/>
          <w:lang w:val="en-US"/>
        </w:rPr>
        <w:tab/>
      </w:r>
    </w:p>
    <w:p w14:paraId="4BC6F5A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VI </w:t>
      </w:r>
    </w:p>
    <w:p w14:paraId="2ACA0B3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დებულებები</w:t>
      </w:r>
    </w:p>
    <w:p w14:paraId="241CFBC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06F396A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bookmarkStart w:id="23" w:name="h.ewwumjc39c89"/>
      <w:bookmarkEnd w:id="23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დებულებები</w:t>
      </w:r>
    </w:p>
    <w:p w14:paraId="49E72F3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იკრიბება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არჩევამდე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უფლებაუნარიანია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50BA48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აირჩევა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ოფს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დარჩენილ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ტარდე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კენჭისყრა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6AB2B9EF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6593F43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780BEAF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7C43016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6. 2018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ინსტრუქციების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3199418E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ანკებმა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5F74B18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აკუმულირებული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მიზნობრივ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1ACBC38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16186444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bookmarkStart w:id="24" w:name="h.f7horh71ryj"/>
      <w:bookmarkEnd w:id="24"/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ამოქმედება</w:t>
      </w:r>
    </w:p>
    <w:p w14:paraId="40CB38DA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-13–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F50ED38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6EA9580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2020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71A21652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</w:p>
    <w:p w14:paraId="723F40A5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                             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გიორგი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მარგველაშვილი</w:t>
      </w:r>
    </w:p>
    <w:p w14:paraId="7F9FF9B1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373AEFF7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</w:t>
      </w:r>
    </w:p>
    <w:p w14:paraId="6B14A986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2017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12B86EDF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№852-II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</w:p>
    <w:p w14:paraId="488217C9" w14:textId="77777777" w:rsidR="00000000" w:rsidRDefault="009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86F51"/>
    <w:rsid w:val="009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41F3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6695</Words>
  <Characters>38167</Characters>
  <Application>Microsoft Office Word</Application>
  <DocSecurity>0</DocSecurity>
  <Lines>318</Lines>
  <Paragraphs>89</Paragraphs>
  <ScaleCrop>false</ScaleCrop>
  <Company/>
  <LinksUpToDate>false</LinksUpToDate>
  <CharactersWithSpaces>44773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