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კონკურენციის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თაობაზე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(www.matsne.gov.ge), 25.05.2012,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240140000.05.001.016710)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გამოიწვიოს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ლიბერალიზაციის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თანასწორუფლებიანობის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შემზღუდველი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ექსკლუზიური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მაქსიმალური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ობიექტურობის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არადისკრიმინაციულობისა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გამჭვირვალობის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განურჩევლად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რეზიდენტობისა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იმოქმედონ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მიმოქცევის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მქონედ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განიცდიან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შიგნით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ჰორიზონტალური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სადისტრიბუციო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>“–„</w:t>
      </w: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ვერტიკალური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სადისტრიბუციო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რგოლის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დონეზე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მაუწყებლობის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ენერგეტიკისა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წყალმომარაგების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ფასწარმოქმნა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სატარიფო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საბიუჯეტო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შუამავალი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დომინანტური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კრიტერიუმები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გაფართოების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ნედლეულის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ვერტიკალური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ინტეგრაციის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ქსელური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განმსაზღვრელი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ძალაუფლებას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ანალიზის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მეთოდური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დომინანტური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ბოროტად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გამოყენება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ბოროტად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არასამართლიანი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არასამართლიანი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ფიქსირება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საზიანოდ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ტრანზაქციებზე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არაკონკურენტულ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საგნობრივად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ფიქსირება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);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ტრანზაქციებზე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არაკონკურენტულ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უმნიშვნელოდ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შემზღუდველი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შეთანხმება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ჰორიზონტალური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ვერტიკალური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ჰორიზონტალური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ვერტიკალური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ჰორიზონტალურ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ვერტიკალურ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კლასიფიკაცია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მზღუდველი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აკრძალვიდან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გამონაკლისები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აუმჯობესებასა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კეთილდღეობის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ზრდას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მიღწევასთ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ვალისწინებითაც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შეზღუდვის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დაუშვებლო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ასოციაციის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შესუსტებას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</w:t>
      </w:r>
      <w:r>
        <w:rPr>
          <w:rFonts w:ascii="Sylfaen" w:eastAsia="Times New Roman" w:hAnsi="Sylfaen" w:cs="Sylfaen"/>
          <w:sz w:val="24"/>
          <w:szCs w:val="24"/>
          <w:lang w:val="en-US"/>
        </w:rPr>
        <w:t>ღუდვას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პოტენციურ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შეფერხება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მონოპოლიზაციისთვის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ფასწარმოქმნასა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10. 10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კონკურენტული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ეფექტის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-11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კონცენტრაცია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შერწყმა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წარმოიქმნებ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ირიბი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აკონტროლებენ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გავლენის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თავსებადია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აძლიერებს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ივარაუდება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საპირისპიროს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დაასაბუთებს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მოსალოდნელია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შესთავაზონ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მოდიფიკაციის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en-US"/>
        </w:rPr>
        <w:t>​​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საფასურის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თავსებადი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სირთულიდან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მიუღებლობა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დაგეგმილი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გაუცემლობა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მისაღწევად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სხვისების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11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en-US"/>
        </w:rPr>
        <w:t>​​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ვალდებულებისგან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გათავისუფლება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ვალაუვალი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ვალაუვალი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მიეკუთვნებიან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კონტროლი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გაყიდვისა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დივიდენდის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</w:t>
      </w:r>
      <w:r>
        <w:rPr>
          <w:rFonts w:ascii="Sylfaen" w:eastAsia="Times New Roman" w:hAnsi="Sylfaen" w:cs="Sylfaen"/>
          <w:sz w:val="24"/>
          <w:szCs w:val="24"/>
          <w:lang w:val="en-US"/>
        </w:rPr>
        <w:t>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ურთიერთდამოკიდებულ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კომპეტენციისთვი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12. 11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არაკეთილსინდისიერ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ლახავს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მაგალითად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არასარწმუნო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რეკლამის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</w:t>
      </w:r>
      <w:r>
        <w:rPr>
          <w:rFonts w:ascii="Sylfaen" w:eastAsia="Times New Roman" w:hAnsi="Sylfaen" w:cs="Sylfaen"/>
          <w:sz w:val="24"/>
          <w:szCs w:val="24"/>
          <w:lang w:val="en-US"/>
        </w:rPr>
        <w:t>ონლის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არასწორ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უბიძგებს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შეცდომაში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შესაყვანად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ნამდვილი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რეპუტაციის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შელახვა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პროდუქციაზე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უსაფუძვლო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კრიტიკა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დისკრედიტაცია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საქონლ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გარეგნული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იერსახის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მითვისება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სამეცნიერო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მოპოვება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შემსყიდველის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მოსყიდვა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დამქირავებლის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უგულებელყოს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ბოიკოტისკენ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მოწოდება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აფერხებს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შეფერხების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პროცედურები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მოცულობისა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გრძელდეს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გაუცემლობა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უმნიშვნელო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ოდენობა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უმნიშ</w:t>
      </w:r>
      <w:r>
        <w:rPr>
          <w:rFonts w:ascii="Sylfaen" w:eastAsia="Times New Roman" w:hAnsi="Sylfaen" w:cs="Sylfaen"/>
          <w:sz w:val="24"/>
          <w:szCs w:val="24"/>
          <w:lang w:val="en-US"/>
        </w:rPr>
        <w:t>ვნელო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ყოველწლიურად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საანგარიშო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უმნიშვნელო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).“.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რიშვალდებულია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ამოცანაა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ანტიკონკურენტული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გამოვლენა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დემპინგური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ინდუსტრიის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ვაჭრობაში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ანტიდემპინგური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დემპინგური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იმპორტით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ინდუსტრიისთვის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ინსტრუქციებისა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16. 17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მართვა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შესარჩევი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ობიექტურობისა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მიუკერძოებლობის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იმდენ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თანამდებობაცაა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ვაკანტურ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რეგლამენტით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არაუადრეს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სტატუსზე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ყვეტა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უგრძელდება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19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გამამტყუნებელი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რასაპატიო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გადადგომა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შემადგ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ავტომატურად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დადგომისთანავე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მოსამსახურე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პოლიტიკური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უბრალო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გადამწყვეტია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ნახევარზე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წარმართვასთან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29.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აკადემიური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17. 17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შესასწავლად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შესაფასებლად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18.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“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მიუღებლო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მიუწოდებლობის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დომინანტური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არაერთგზის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დაყოფა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განცალკევება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ქცევითი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ლ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დისციპლინური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გაუქმ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შეუსრულებლობის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რეკომენდაციები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გაჯანსაღების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ბარიერების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იდენტიფიცირებული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გადასახადის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ზედამხედველობისადმი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გამოთხოვისა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სარეკომენდაციო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19.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18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უფლებამოსილებები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ქტორს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საშტატო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დელეგირებას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</w:t>
      </w:r>
      <w:r>
        <w:rPr>
          <w:rFonts w:ascii="Sylfaen" w:eastAsia="Times New Roman" w:hAnsi="Sylfaen" w:cs="Sylfaen"/>
          <w:sz w:val="24"/>
          <w:szCs w:val="24"/>
          <w:lang w:val="en-US"/>
        </w:rPr>
        <w:t>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კოორდინაციას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ტატო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ნუსხისა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აპარატის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ქვედანაყოფების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შინაორგანიზაციულ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საკადრო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შეხვედრაზე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-20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კონფიდენციალურობა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;“;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საიდუმლოებად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კონფიდენციალური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დაშტრიხული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ვერსიის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21. 21-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პროფესიული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92-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კონფლიქტის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22.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დასაწყებად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23. 23-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მომჩივნისა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მომჩივანსა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</w:t>
      </w:r>
      <w:r>
        <w:rPr>
          <w:rFonts w:ascii="Sylfaen" w:eastAsia="Times New Roman" w:hAnsi="Sylfaen" w:cs="Sylfaen"/>
          <w:sz w:val="24"/>
          <w:szCs w:val="24"/>
          <w:lang w:val="en-US"/>
        </w:rPr>
        <w:t>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დაწყებაზე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საფუძვლები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აღმოჩენილი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18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მომჩივანს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>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იბარებს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ოკუმენტაციის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კონფიდენციალურობისა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მომჩივანმა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შემაჯამებელი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გამართვამდე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განემარტებათ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წარმოადგინონ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).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ამოწურვის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პროექტის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იარსებებს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განახლდ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24. 27-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ხანდაზმულობის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ვადა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</w:t>
      </w:r>
      <w:r>
        <w:rPr>
          <w:rFonts w:ascii="Sylfaen" w:eastAsia="Times New Roman" w:hAnsi="Sylfaen" w:cs="Sylfaen"/>
          <w:sz w:val="24"/>
          <w:szCs w:val="24"/>
          <w:lang w:val="en-US"/>
        </w:rPr>
        <w:t>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25. 31-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ფორმები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გამოყენ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ება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</w:t>
      </w:r>
      <w:r>
        <w:rPr>
          <w:rFonts w:ascii="Sylfaen" w:eastAsia="Times New Roman" w:hAnsi="Sylfaen" w:cs="Sylfaen"/>
          <w:sz w:val="24"/>
          <w:szCs w:val="24"/>
          <w:lang w:val="en-US"/>
        </w:rPr>
        <w:t>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წარედგინა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სუბიექტები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იზრდება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</w:t>
      </w:r>
      <w:r>
        <w:rPr>
          <w:rFonts w:ascii="Sylfaen" w:eastAsia="Times New Roman" w:hAnsi="Sylfaen" w:cs="Sylfaen"/>
          <w:sz w:val="24"/>
          <w:szCs w:val="24"/>
          <w:lang w:val="en-US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შესწავლისას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11</w:t>
      </w:r>
      <w:r>
        <w:rPr>
          <w:rFonts w:ascii="Times New Roman" w:eastAsia="Times New Roman" w:hAnsi="Times New Roman" w:cs="Times New Roman"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-6</w:t>
      </w:r>
      <w:r>
        <w:rPr>
          <w:rFonts w:ascii="Sylfaen" w:eastAsia="Times New Roman" w:hAnsi="Sylfaen" w:cs="Sylfaen"/>
          <w:sz w:val="24"/>
          <w:szCs w:val="24"/>
          <w:lang w:val="en-US"/>
        </w:rPr>
        <w:t>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27-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, 33-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, 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-18, 22-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კომპეტენციისთვის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საოპერაციო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შერწყმა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ტრანზაქციები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26. 32-</w:t>
      </w:r>
      <w:r>
        <w:rPr>
          <w:rFonts w:ascii="Sylfaen" w:eastAsia="Times New Roman" w:hAnsi="Sylfaen" w:cs="Sylfaen"/>
          <w:sz w:val="24"/>
          <w:szCs w:val="24"/>
          <w:lang w:val="en-US"/>
        </w:rPr>
        <w:t>ე−</w:t>
      </w:r>
      <w:r>
        <w:rPr>
          <w:rFonts w:ascii="Sylfaen" w:eastAsia="Times New Roman" w:hAnsi="Sylfaen" w:cs="Sylfaen"/>
          <w:sz w:val="24"/>
          <w:szCs w:val="24"/>
          <w:lang w:val="en-US"/>
        </w:rPr>
        <w:t>33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მიუწოდებლობა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არასწორი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არასრული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მიწოდება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მიუწოდებლობის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არასრული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მიუწოდებლობის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3 000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ჯარიმა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აღმოუფხვრელობის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ვადაგადაცილებულ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თოეულ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ვადაგადაცილებულ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11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აღმოუფხვრელობის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განმეორების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3%-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ვადაგადაცილებულ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ვლობაში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ბრუნვის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სიმძიმე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მარტივი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გადაუხდელობის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მიექცევა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სანქცია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33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პროგრამა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სანამ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წყაროდან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უწყვეტად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შეუზღუდავად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ითანამშრომლებს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მოკვლევას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გაანადგურებს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გაამჟღავნებს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შეღავათი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ერთადერთ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ორგანიზატორზე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ინიციატორზე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აიძულა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პროგრამის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გავრცელებისა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დაკისრებისგან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33</w:t>
      </w:r>
      <w:r>
        <w:rPr>
          <w:rFonts w:ascii="Times New Roman" w:eastAsia="Times New Roman" w:hAnsi="Times New Roman" w:cs="Times New Roman"/>
          <w:b/>
          <w:bCs/>
          <w:position w:val="6"/>
          <w:sz w:val="24"/>
          <w:szCs w:val="24"/>
          <w:lang w:val="en-US"/>
        </w:rPr>
        <w:t>​​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გადასინჯოს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2021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ივნისამდე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გარდამავალ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ნცენტრაციის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მომწ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ესრიგებელი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დაკომპლექტდეს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აირჩეს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</w:t>
      </w:r>
      <w:r>
        <w:rPr>
          <w:rFonts w:ascii="Sylfaen" w:eastAsia="Times New Roman" w:hAnsi="Sylfaen" w:cs="Sylfaen"/>
          <w:sz w:val="24"/>
          <w:szCs w:val="24"/>
          <w:lang w:val="en-US"/>
        </w:rPr>
        <w:t>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დაკომპლექტებამდე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ასარჩევად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არჩევნებისას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არჩეულ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მინისტრმა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პარლამენტმა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თებერვლამდე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17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კონკურენციის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დაკომპლექტების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ისძიებების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(28.05.2021 N524)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კომისია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2026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შეისწავლის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ლიცენზიის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შეძენა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შერწყმა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სფეროს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-16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2023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იანვრიდან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(28.05.2021 N524)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16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N7126-I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:rsidR="00000000" w:rsidRDefault="00D4303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D43036"/>
    <w:rsid w:val="00D4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9713</Words>
  <Characters>55370</Characters>
  <Application>Microsoft Office Word</Application>
  <DocSecurity>0</DocSecurity>
  <Lines>461</Lines>
  <Paragraphs>129</Paragraphs>
  <ScaleCrop>false</ScaleCrop>
  <Company/>
  <LinksUpToDate>false</LinksUpToDate>
  <CharactersWithSpaces>64954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