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ადმინისტრაციულ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სსრ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№12, 1984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421)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1. 38-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17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ფურცელი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273-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საჯარიმო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ქვითრის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ფურცელი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საჯარიმო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ქვითრის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ფურცელი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273-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საჯარიმო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ქვითრის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ქვითარი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საჯარიმო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ქვითრის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ფურცელი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ქვითარი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17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16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მმართველო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რეესტრის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ერთიან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ელექტრონულ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პორტალზე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გამოსაქვეყნებლად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შეუსრულებლობა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ერთიან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პორტალზე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გამოსაქვეყნებლად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ფილიალის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გაფრთხილებას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გაფრთხილებით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გაფრთხილებიდან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არასათანადოდ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ფილიალის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ისუფლებს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პორტალზე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ფილიალის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რულებისგან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17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წერილზე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მითითების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შეუსრულებლობა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ფილიალის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გაფრთხილებას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გაფრთხილებიდან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ფილიალის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ფილიალის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შეწყვეტა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4. 222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ორგანოები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16</w:t>
      </w:r>
      <w:r>
        <w:rPr>
          <w:rFonts w:ascii="Sylfaen" w:hAnsi="Sylfaen" w:cs="Sylfaen"/>
          <w:sz w:val="24"/>
          <w:szCs w:val="24"/>
          <w:lang w:val="en-US"/>
        </w:rPr>
        <w:t>,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17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185-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185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5. 242-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17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6. 252-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-12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125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125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-4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>, 135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135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>,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17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დაუსწრებლადაც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მიცემულ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განემარტოს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7. 261-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eastAsia="Times New Roman" w:hAnsi="Sylfaen" w:cs="Sylfaen"/>
          <w:sz w:val="24"/>
          <w:szCs w:val="24"/>
          <w:lang w:val="en-US"/>
        </w:rPr>
        <w:t>–159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17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>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მისამართზე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8. 262-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263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16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17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განხილვა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17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10. 266-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„8.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17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17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11. 267-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17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12. 268-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17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პორტალზე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ფილიალისთვის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ერდზე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ჩაბარებად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„13. 273-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>(1.12.2021 N1038)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273.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გასაჩივრების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234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</w:t>
      </w:r>
      <w:r>
        <w:rPr>
          <w:rFonts w:ascii="Sylfaen" w:eastAsia="Times New Roman" w:hAnsi="Sylfaen" w:cs="Sylfaen"/>
          <w:sz w:val="24"/>
          <w:szCs w:val="24"/>
          <w:lang w:val="en-US"/>
        </w:rPr>
        <w:t>ეზით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17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14. 276-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16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17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გამორკვევას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15. 278-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17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საჩივართან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პორტალზე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ფილიალისთვის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გვერდზე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ჩაბარებად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16. 283-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17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290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7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290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7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16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17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პასუხისმგებლ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დაკისრება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აღსრულება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17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სამართალდამრღვევმა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17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სამართალდამრღვევი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ფილიალებში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ჩასარიცხად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17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სამართალდამრღვევი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უკანასკნელი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შაბათი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კვირა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18. 291-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290-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290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7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ხელფასიდან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პენსიიდან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სტიპენდიიდან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228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228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იძულები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129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აგვისტო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N876-V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-X</w:t>
      </w:r>
      <w:r>
        <w:rPr>
          <w:rFonts w:ascii="Sylfaen" w:eastAsia="Times New Roman" w:hAnsi="Sylfaen" w:cs="Sylfaen"/>
          <w:sz w:val="24"/>
          <w:szCs w:val="24"/>
          <w:lang w:val="en-US"/>
        </w:rPr>
        <w:t>მპ</w:t>
      </w:r>
    </w:p>
    <w:p w:rsidR="00000000" w:rsidRDefault="00121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21E96"/>
    <w:rsid w:val="0012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2018</Words>
  <Characters>11504</Characters>
  <Application>Microsoft Office Word</Application>
  <DocSecurity>0</DocSecurity>
  <Lines>95</Lines>
  <Paragraphs>26</Paragraphs>
  <ScaleCrop>false</ScaleCrop>
  <Company/>
  <LinksUpToDate>false</LinksUpToDate>
  <CharactersWithSpaces>13496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