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F3BF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52548E53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10E4D8E0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სამეწარმეო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კონტროლის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3660D13B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en-US"/>
        </w:rPr>
      </w:pPr>
    </w:p>
    <w:p w14:paraId="3B47A5B1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14:paraId="46AC484C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5A5E7302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en-US"/>
        </w:rPr>
      </w:pPr>
    </w:p>
    <w:p w14:paraId="746F070A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 </w:t>
      </w:r>
    </w:p>
    <w:p w14:paraId="626DF960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ყველას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.</w:t>
      </w:r>
    </w:p>
    <w:p w14:paraId="3004C3B3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>.</w:t>
      </w:r>
    </w:p>
    <w:p w14:paraId="41D46C1D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N6894)</w:t>
      </w:r>
    </w:p>
    <w:p w14:paraId="0D447652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167BDCD7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</w:t>
      </w:r>
    </w:p>
    <w:p w14:paraId="28D3EEA9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</w:t>
      </w:r>
      <w:r>
        <w:rPr>
          <w:rFonts w:ascii="Sylfaen" w:eastAsia="Times New Roman" w:hAnsi="Sylfaen" w:cs="Sylfaen"/>
          <w:lang w:val="en-US"/>
        </w:rPr>
        <w:t>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657798F7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მეწარმე</w:t>
      </w:r>
      <w:r>
        <w:rPr>
          <w:rFonts w:ascii="Sylfaen" w:eastAsia="Times New Roman" w:hAnsi="Sylfaen" w:cs="Sylfaen"/>
          <w:lang w:val="en-US"/>
        </w:rPr>
        <w:t xml:space="preserve"> – ,,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;</w:t>
      </w:r>
    </w:p>
    <w:p w14:paraId="38343830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</w:t>
      </w:r>
      <w:r>
        <w:rPr>
          <w:rFonts w:ascii="Sylfaen" w:eastAsia="Times New Roman" w:hAnsi="Sylfaen" w:cs="Sylfaen"/>
          <w:lang w:val="en-US"/>
        </w:rPr>
        <w:t>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სავაჭრო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რეაგირების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N6894)</w:t>
      </w:r>
    </w:p>
    <w:p w14:paraId="465C57F6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lastRenderedPageBreak/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მაკ</w:t>
      </w:r>
      <w:r>
        <w:rPr>
          <w:rFonts w:ascii="Sylfaen" w:eastAsia="Times New Roman" w:hAnsi="Sylfaen" w:cs="Sylfaen"/>
          <w:lang w:val="en-US"/>
        </w:rPr>
        <w:t>ონტროლებელი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N6894)</w:t>
      </w:r>
    </w:p>
    <w:p w14:paraId="5FA75FFE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ურთიერთობებისა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.2012.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31A7522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3. 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(29.12.2006 N 4302)</w:t>
      </w:r>
    </w:p>
    <w:p w14:paraId="190C555F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</w:p>
    <w:p w14:paraId="0933E3F3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14:paraId="26BC8ADD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სამეწარმეო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კონტროლის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</w:t>
      </w:r>
    </w:p>
    <w:p w14:paraId="2A2812DC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5E683BD7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</w:t>
      </w:r>
    </w:p>
    <w:p w14:paraId="5FCC909A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გააკონტროლოს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მაკონტროლებელმა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45D45A8F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მაკონტროლებელი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გააკონტროლოს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შევიდეს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შეაჩეროს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დალუქოს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დაათვალიეროს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შეამოწმოს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№3052)</w:t>
      </w:r>
    </w:p>
    <w:p w14:paraId="7EA2E807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მოსამართლე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ეჭვით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4AAC4AB4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უპირობოდ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დაუბრუნდეს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</w:t>
      </w:r>
      <w:r>
        <w:rPr>
          <w:rFonts w:ascii="Sylfaen" w:eastAsia="Times New Roman" w:hAnsi="Sylfaen" w:cs="Sylfaen"/>
          <w:lang w:val="en-US"/>
        </w:rPr>
        <w:t>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მეწარმეს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მეწარმეს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N6894)</w:t>
      </w:r>
    </w:p>
    <w:p w14:paraId="4EBAC676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მტკიცებულებებს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>.</w:t>
      </w:r>
    </w:p>
    <w:p w14:paraId="6E5C8C5C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მაკონტროლებელი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შეამოწმოს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6F818A0C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799EC76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47115FAE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</w:t>
      </w:r>
    </w:p>
    <w:p w14:paraId="009076DF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მეწარმე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შეამოწმა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მაკონტროლებ</w:t>
      </w:r>
      <w:r>
        <w:rPr>
          <w:rFonts w:ascii="Sylfaen" w:eastAsia="Times New Roman" w:hAnsi="Sylfaen" w:cs="Sylfaen"/>
          <w:lang w:val="en-US"/>
        </w:rPr>
        <w:t>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შეამოწმოს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მაკონტროლებელმა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დანაყოფმა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12D08A0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>2.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მაკონტროლებელი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7B0C421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536121C5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 </w:t>
      </w:r>
    </w:p>
    <w:p w14:paraId="50595F1A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>:</w:t>
      </w:r>
    </w:p>
    <w:p w14:paraId="0FA24ECD" w14:textId="77777777" w:rsidR="00000000" w:rsidRDefault="004D1BD9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255-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(17.09.2010.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№3595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0B5C698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</w:t>
      </w:r>
      <w:r>
        <w:rPr>
          <w:rFonts w:ascii="Sylfaen" w:eastAsia="Times New Roman" w:hAnsi="Sylfaen" w:cs="Sylfaen"/>
          <w:lang w:val="en-US"/>
        </w:rPr>
        <w:t>ბაზე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89090EF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№6550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D14E0E4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(24.09.2009.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№1689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</w:p>
    <w:p w14:paraId="450449EB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(11.07.2007 N5264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ფასიანი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ქაღალდების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ეროვნული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კომისიისა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დაზღვევის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ზედამხედველობის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სამსახურის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სალიკვიდაციო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ღონისძიებების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დასრულების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შემდეგ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09493F6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1712)</w:t>
      </w:r>
    </w:p>
    <w:p w14:paraId="6EFD2B2B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position w:val="18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489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)</w:t>
      </w:r>
    </w:p>
    <w:p w14:paraId="016DF28E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(20.11.2013. N1596)</w:t>
      </w:r>
    </w:p>
    <w:p w14:paraId="71FEF4A5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(29.12.2006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№4302)</w:t>
      </w:r>
    </w:p>
    <w:p w14:paraId="5CFC4D96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საქმიანობებზე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N5692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6394B3B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საავიაციო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>ონისძიებებზე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(16.12.2021 N1151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F080B2B" w14:textId="77777777" w:rsidR="00000000" w:rsidRDefault="004D1BD9">
      <w:pPr>
        <w:widowControl/>
        <w:spacing w:line="20" w:lineRule="atLeast"/>
        <w:ind w:firstLine="691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მაღალი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კალენდარულ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(21.07.2010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№3555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) </w:t>
      </w:r>
      <w:r>
        <w:rPr>
          <w:rFonts w:ascii="Sylfaen" w:hAnsi="Sylfaen" w:cs="Sylfaen"/>
          <w:i/>
          <w:iCs/>
          <w:lang w:val="en-US"/>
        </w:rPr>
        <w:t xml:space="preserve"> </w:t>
      </w:r>
    </w:p>
    <w:p w14:paraId="22A170AD" w14:textId="77777777" w:rsidR="00000000" w:rsidRDefault="004D1BD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(08.06.2016.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№5364)</w:t>
      </w:r>
      <w:r>
        <w:rPr>
          <w:rFonts w:ascii="Sylfaen" w:hAnsi="Sylfaen" w:cs="Sylfaen"/>
          <w:lang w:val="en-US"/>
        </w:rPr>
        <w:t xml:space="preserve">     </w:t>
      </w:r>
    </w:p>
    <w:p w14:paraId="266C60A9" w14:textId="77777777" w:rsidR="00000000" w:rsidRDefault="004D1BD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სურსათის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1712)</w:t>
      </w:r>
    </w:p>
    <w:p w14:paraId="26C4F5A2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(04.10.2013.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1468)</w:t>
      </w:r>
    </w:p>
    <w:p w14:paraId="6D101134" w14:textId="77777777" w:rsidR="00000000" w:rsidRDefault="004D1BD9">
      <w:pPr>
        <w:ind w:firstLine="709"/>
        <w:jc w:val="both"/>
        <w:rPr>
          <w:rFonts w:ascii="Sylfaen" w:hAnsi="Sylfaen" w:cs="Sylfaen"/>
          <w:b/>
          <w:bCs/>
          <w:i/>
          <w:i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სახანძრო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სასიცოცხლო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№4092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C70F16D" w14:textId="77777777" w:rsidR="00000000" w:rsidRDefault="004D1BD9">
      <w:pPr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</w:t>
      </w:r>
      <w:r>
        <w:rPr>
          <w:rFonts w:ascii="Sylfaen" w:eastAsia="Times New Roman" w:hAnsi="Sylfaen" w:cs="Sylfaen"/>
          <w:lang w:val="ka-GE" w:eastAsia="ka-GE"/>
        </w:rPr>
        <w:t>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(24.02.2016.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5572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14:paraId="33EAAE0D" w14:textId="77777777" w:rsidR="00000000" w:rsidRDefault="004D1BD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</w:t>
      </w:r>
      <w:r>
        <w:rPr>
          <w:rFonts w:ascii="Sylfaen" w:eastAsia="Times New Roman" w:hAnsi="Sylfaen" w:cs="Sylfaen"/>
          <w:lang w:val="ka-GE" w:eastAsia="ka-GE"/>
        </w:rPr>
        <w:t>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D23FF30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(24.02.2016.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5572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14:paraId="7901C5CD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</w:t>
      </w:r>
      <w:r>
        <w:rPr>
          <w:rFonts w:ascii="Sylfaen" w:eastAsia="Times New Roman" w:hAnsi="Sylfaen" w:cs="Sylfaen"/>
          <w:lang w:val="en-US"/>
        </w:rPr>
        <w:t>ხვევისა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(29.09.2020 N7186)</w:t>
      </w:r>
    </w:p>
    <w:p w14:paraId="540E42DB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N1337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4227AF4A" w14:textId="77777777" w:rsidR="00000000" w:rsidRDefault="004D1B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6550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77C7AA9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,,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“–,,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D7A5187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,,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96815B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70ED6DAD" w14:textId="77777777" w:rsidR="00000000" w:rsidRDefault="004D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1234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F957C15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C623C0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14:paraId="4056225D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№799)</w:t>
      </w:r>
    </w:p>
    <w:p w14:paraId="43712AAB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14:paraId="677EB6A3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№799)</w:t>
      </w:r>
    </w:p>
    <w:p w14:paraId="0331873A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№799)</w:t>
      </w:r>
    </w:p>
    <w:p w14:paraId="1E1D60CA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6816D902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14:paraId="4F901856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660289AF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0A68F4BD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 </w:t>
      </w:r>
    </w:p>
    <w:p w14:paraId="7781BB4B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799)</w:t>
      </w:r>
    </w:p>
    <w:p w14:paraId="46FB14C5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დაევალოთ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დარგობრივ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958B265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C08496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დაევალოს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მოსაყვანად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AB5BA9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(29.12.2004.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843)</w:t>
      </w:r>
    </w:p>
    <w:p w14:paraId="06E85530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14:paraId="1A18D068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</w:t>
      </w:r>
    </w:p>
    <w:p w14:paraId="44FFE193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7D9C4C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18E1C58F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</w:p>
    <w:p w14:paraId="2864D066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u w:val="single"/>
          <w:lang w:val="ka-GE" w:eastAsia="ka-GE"/>
        </w:rPr>
      </w:pPr>
    </w:p>
    <w:p w14:paraId="3E9B9D8A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72F791B8" w14:textId="77777777" w:rsidR="00000000" w:rsidRDefault="004D1BD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9E30D7" w14:textId="77777777" w:rsidR="00000000" w:rsidRDefault="004D1BD9">
      <w:pPr>
        <w:pStyle w:val="Normal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№921 -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35C45849" w14:textId="77777777" w:rsidR="00000000" w:rsidRDefault="004D1BD9">
      <w:pPr>
        <w:pStyle w:val="Normal0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1BD9"/>
    <w:rsid w:val="004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E42A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sz w:val="22"/>
      <w:szCs w:val="22"/>
    </w:rPr>
  </w:style>
  <w:style w:type="paragraph" w:customStyle="1" w:styleId="Char4">
    <w:name w:val="Char4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